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0BC16" w14:textId="3BB47DB0" w:rsidR="00AF6E99" w:rsidRPr="000F49D3" w:rsidRDefault="004F53FD" w:rsidP="004F53FD">
      <w:pPr>
        <w:spacing w:line="247" w:lineRule="auto"/>
        <w:jc w:val="center"/>
        <w:rPr>
          <w:rFonts w:ascii="Verdana" w:hAnsi="Verdana"/>
          <w:b/>
          <w:bCs/>
          <w:color w:val="222A35" w:themeColor="text2" w:themeShade="80"/>
          <w:lang w:val="fr-FR"/>
        </w:rPr>
      </w:pPr>
      <w:r w:rsidRPr="000F49D3">
        <w:rPr>
          <w:rFonts w:ascii="Verdana" w:hAnsi="Verdana"/>
          <w:b/>
          <w:bCs/>
          <w:color w:val="222A35" w:themeColor="text2" w:themeShade="80"/>
          <w:lang w:val="fr-FR"/>
        </w:rPr>
        <w:t>Politique relative aux risques en matière de durabilité</w:t>
      </w:r>
    </w:p>
    <w:p w14:paraId="1646A7F3" w14:textId="2FA5D50B" w:rsidR="004F53FD" w:rsidRPr="009715D0" w:rsidRDefault="004F53FD" w:rsidP="004F53FD">
      <w:pPr>
        <w:spacing w:line="247" w:lineRule="auto"/>
        <w:jc w:val="center"/>
        <w:rPr>
          <w:rFonts w:ascii="Verdana" w:hAnsi="Verdana"/>
          <w:b/>
          <w:bCs/>
          <w:color w:val="C00000"/>
          <w:sz w:val="18"/>
          <w:szCs w:val="18"/>
          <w:lang w:val="fr-FR"/>
        </w:rPr>
      </w:pPr>
    </w:p>
    <w:p w14:paraId="0B7CE20E" w14:textId="50F8EF7A" w:rsidR="004F53FD" w:rsidRPr="000F49D3" w:rsidRDefault="004F53FD" w:rsidP="004F53FD">
      <w:pPr>
        <w:spacing w:line="247" w:lineRule="auto"/>
        <w:jc w:val="both"/>
        <w:rPr>
          <w:rFonts w:ascii="Verdana" w:hAnsi="Verdana"/>
          <w:color w:val="C00000"/>
          <w:sz w:val="17"/>
          <w:szCs w:val="17"/>
          <w:lang w:val="fr-FR"/>
        </w:rPr>
      </w:pPr>
    </w:p>
    <w:p w14:paraId="24450BBC" w14:textId="2F0DC018" w:rsidR="004F53FD" w:rsidRPr="000F49D3" w:rsidRDefault="004F53FD" w:rsidP="004F53FD">
      <w:pPr>
        <w:spacing w:line="247" w:lineRule="auto"/>
        <w:jc w:val="both"/>
        <w:rPr>
          <w:rFonts w:ascii="Verdana" w:hAnsi="Verdana"/>
          <w:b/>
          <w:bCs/>
          <w:color w:val="222A35" w:themeColor="text2" w:themeShade="80"/>
          <w:sz w:val="17"/>
          <w:szCs w:val="17"/>
          <w:lang w:val="fr-FR"/>
        </w:rPr>
      </w:pPr>
      <w:r w:rsidRPr="000F49D3">
        <w:rPr>
          <w:rFonts w:ascii="Verdana" w:hAnsi="Verdana"/>
          <w:b/>
          <w:bCs/>
          <w:color w:val="222A35" w:themeColor="text2" w:themeShade="80"/>
          <w:sz w:val="17"/>
          <w:szCs w:val="17"/>
          <w:lang w:val="fr-FR"/>
        </w:rPr>
        <w:t>En mars 2018, la Commission européenne a publié un plan d’action pour financer une croissance durable</w:t>
      </w:r>
      <w:r w:rsidR="00F84E4A" w:rsidRPr="000F49D3">
        <w:rPr>
          <w:rFonts w:ascii="Verdana" w:hAnsi="Verdana"/>
          <w:b/>
          <w:bCs/>
          <w:color w:val="222A35" w:themeColor="text2" w:themeShade="80"/>
          <w:sz w:val="17"/>
          <w:szCs w:val="17"/>
          <w:lang w:val="fr-FR"/>
        </w:rPr>
        <w:t xml:space="preserve"> </w:t>
      </w:r>
      <w:r w:rsidRPr="000F49D3">
        <w:rPr>
          <w:rFonts w:ascii="Verdana" w:hAnsi="Verdana"/>
          <w:b/>
          <w:bCs/>
          <w:color w:val="222A35" w:themeColor="text2" w:themeShade="80"/>
          <w:sz w:val="17"/>
          <w:szCs w:val="17"/>
          <w:lang w:val="fr-FR"/>
        </w:rPr>
        <w:t>comportant notamment trois recommandations ciblant le secteur financier</w:t>
      </w:r>
      <w:r w:rsidR="007F4375" w:rsidRPr="000F49D3">
        <w:rPr>
          <w:rFonts w:ascii="Verdana" w:hAnsi="Verdana"/>
          <w:b/>
          <w:bCs/>
          <w:color w:val="222A35" w:themeColor="text2" w:themeShade="80"/>
          <w:sz w:val="17"/>
          <w:szCs w:val="17"/>
          <w:lang w:val="fr-FR"/>
        </w:rPr>
        <w:t> </w:t>
      </w:r>
      <w:r w:rsidRPr="000F49D3">
        <w:rPr>
          <w:rFonts w:ascii="Verdana" w:hAnsi="Verdana"/>
          <w:b/>
          <w:bCs/>
          <w:color w:val="222A35" w:themeColor="text2" w:themeShade="80"/>
          <w:sz w:val="17"/>
          <w:szCs w:val="17"/>
          <w:lang w:val="fr-FR"/>
        </w:rPr>
        <w:t>:</w:t>
      </w:r>
    </w:p>
    <w:p w14:paraId="1344F230" w14:textId="77777777" w:rsidR="004F53FD" w:rsidRPr="000F49D3" w:rsidRDefault="004F53FD" w:rsidP="004F53FD">
      <w:pPr>
        <w:spacing w:line="247" w:lineRule="auto"/>
        <w:jc w:val="both"/>
        <w:rPr>
          <w:rFonts w:ascii="Verdana" w:hAnsi="Verdana"/>
          <w:b/>
          <w:bCs/>
          <w:color w:val="222A35" w:themeColor="text2" w:themeShade="80"/>
          <w:sz w:val="17"/>
          <w:szCs w:val="17"/>
          <w:lang w:val="fr-FR"/>
        </w:rPr>
      </w:pPr>
    </w:p>
    <w:p w14:paraId="50D39DDC" w14:textId="66AEEDCB" w:rsidR="004F53FD" w:rsidRPr="000F49D3" w:rsidRDefault="004F53FD" w:rsidP="004F53FD">
      <w:pPr>
        <w:pStyle w:val="Paragraphedeliste"/>
        <w:numPr>
          <w:ilvl w:val="0"/>
          <w:numId w:val="14"/>
        </w:numPr>
        <w:spacing w:line="247" w:lineRule="auto"/>
        <w:jc w:val="both"/>
        <w:rPr>
          <w:rFonts w:ascii="Verdana" w:hAnsi="Verdana"/>
          <w:b/>
          <w:bCs/>
          <w:color w:val="222A35" w:themeColor="text2" w:themeShade="80"/>
          <w:sz w:val="17"/>
          <w:szCs w:val="17"/>
        </w:rPr>
      </w:pPr>
      <w:r w:rsidRPr="000F49D3">
        <w:rPr>
          <w:rFonts w:ascii="Verdana" w:hAnsi="Verdana"/>
          <w:b/>
          <w:bCs/>
          <w:color w:val="222A35" w:themeColor="text2" w:themeShade="80"/>
          <w:sz w:val="17"/>
          <w:szCs w:val="17"/>
        </w:rPr>
        <w:t>Réorienter les flux de capitaux vers des investissements durables en vue de parvenir à une croissance durable et inclusive ;</w:t>
      </w:r>
    </w:p>
    <w:p w14:paraId="13632ABF" w14:textId="33EC82B6" w:rsidR="004F53FD" w:rsidRPr="000F49D3" w:rsidRDefault="004F53FD" w:rsidP="004F53FD">
      <w:pPr>
        <w:pStyle w:val="Paragraphedeliste"/>
        <w:numPr>
          <w:ilvl w:val="0"/>
          <w:numId w:val="14"/>
        </w:numPr>
        <w:spacing w:line="247" w:lineRule="auto"/>
        <w:jc w:val="both"/>
        <w:rPr>
          <w:rFonts w:ascii="Verdana" w:hAnsi="Verdana"/>
          <w:b/>
          <w:bCs/>
          <w:color w:val="222A35" w:themeColor="text2" w:themeShade="80"/>
          <w:sz w:val="17"/>
          <w:szCs w:val="17"/>
        </w:rPr>
      </w:pPr>
      <w:r w:rsidRPr="000F49D3">
        <w:rPr>
          <w:rFonts w:ascii="Verdana" w:hAnsi="Verdana"/>
          <w:b/>
          <w:bCs/>
          <w:color w:val="222A35" w:themeColor="text2" w:themeShade="80"/>
          <w:sz w:val="17"/>
          <w:szCs w:val="17"/>
        </w:rPr>
        <w:t>Gérer les risques financiers induits par le changement climatique, l’épuisement des ressources, la dégradation de l’environnement et les problématiques sociales ;</w:t>
      </w:r>
    </w:p>
    <w:p w14:paraId="67683497" w14:textId="135F4E58" w:rsidR="004F53FD" w:rsidRPr="000F49D3" w:rsidRDefault="004F53FD" w:rsidP="004F53FD">
      <w:pPr>
        <w:pStyle w:val="Paragraphedeliste"/>
        <w:numPr>
          <w:ilvl w:val="0"/>
          <w:numId w:val="14"/>
        </w:numPr>
        <w:spacing w:line="247" w:lineRule="auto"/>
        <w:jc w:val="both"/>
        <w:rPr>
          <w:rFonts w:ascii="Verdana" w:hAnsi="Verdana"/>
          <w:b/>
          <w:bCs/>
          <w:color w:val="222A35" w:themeColor="text2" w:themeShade="80"/>
          <w:sz w:val="17"/>
          <w:szCs w:val="17"/>
        </w:rPr>
      </w:pPr>
      <w:r w:rsidRPr="000F49D3">
        <w:rPr>
          <w:rFonts w:ascii="Verdana" w:hAnsi="Verdana"/>
          <w:b/>
          <w:bCs/>
          <w:color w:val="222A35" w:themeColor="text2" w:themeShade="80"/>
          <w:sz w:val="17"/>
          <w:szCs w:val="17"/>
        </w:rPr>
        <w:t>Favoriser la transparence et une vision de long terme dans les activités économiques et financières.</w:t>
      </w:r>
    </w:p>
    <w:p w14:paraId="23B662AB" w14:textId="3D8F291E" w:rsidR="004F53FD" w:rsidRPr="000F49D3" w:rsidRDefault="004F53FD" w:rsidP="004F53FD">
      <w:pPr>
        <w:spacing w:line="247" w:lineRule="auto"/>
        <w:jc w:val="both"/>
        <w:rPr>
          <w:rFonts w:ascii="Verdana" w:hAnsi="Verdana"/>
          <w:b/>
          <w:bCs/>
          <w:color w:val="222A35" w:themeColor="text2" w:themeShade="80"/>
          <w:sz w:val="17"/>
          <w:szCs w:val="17"/>
          <w:lang w:val="fr-FR"/>
        </w:rPr>
      </w:pPr>
      <w:r w:rsidRPr="000F49D3">
        <w:rPr>
          <w:rFonts w:ascii="Verdana" w:hAnsi="Verdana"/>
          <w:b/>
          <w:bCs/>
          <w:color w:val="222A35" w:themeColor="text2" w:themeShade="80"/>
          <w:sz w:val="17"/>
          <w:szCs w:val="17"/>
          <w:lang w:val="fr-FR"/>
        </w:rPr>
        <w:t xml:space="preserve">A </w:t>
      </w:r>
      <w:r w:rsidR="00FB2B56" w:rsidRPr="000F49D3">
        <w:rPr>
          <w:rFonts w:ascii="Verdana" w:hAnsi="Verdana"/>
          <w:b/>
          <w:bCs/>
          <w:color w:val="222A35" w:themeColor="text2" w:themeShade="80"/>
          <w:sz w:val="17"/>
          <w:szCs w:val="17"/>
          <w:lang w:val="fr-FR"/>
        </w:rPr>
        <w:t>ensuite</w:t>
      </w:r>
      <w:r w:rsidRPr="000F49D3">
        <w:rPr>
          <w:rFonts w:ascii="Verdana" w:hAnsi="Verdana"/>
          <w:b/>
          <w:bCs/>
          <w:color w:val="222A35" w:themeColor="text2" w:themeShade="80"/>
          <w:sz w:val="17"/>
          <w:szCs w:val="17"/>
          <w:lang w:val="fr-FR"/>
        </w:rPr>
        <w:t xml:space="preserve"> été adopté le Règlement (UE) 2019/2088 du Parlement Européen et du Conseil du 27</w:t>
      </w:r>
      <w:r w:rsidR="00BB0D61" w:rsidRPr="000F49D3">
        <w:rPr>
          <w:rFonts w:ascii="Verdana" w:hAnsi="Verdana"/>
          <w:b/>
          <w:bCs/>
          <w:color w:val="222A35" w:themeColor="text2" w:themeShade="80"/>
          <w:sz w:val="17"/>
          <w:szCs w:val="17"/>
          <w:lang w:val="fr-FR"/>
        </w:rPr>
        <w:t> </w:t>
      </w:r>
      <w:r w:rsidRPr="000F49D3">
        <w:rPr>
          <w:rFonts w:ascii="Verdana" w:hAnsi="Verdana"/>
          <w:b/>
          <w:bCs/>
          <w:color w:val="222A35" w:themeColor="text2" w:themeShade="80"/>
          <w:sz w:val="17"/>
          <w:szCs w:val="17"/>
          <w:lang w:val="fr-FR"/>
        </w:rPr>
        <w:t>novembre 2019 sur la publication d’informations en matière de durabilité dans le secteur des services financiers. Ce règlement établit des règles harmonisées relatives à la transparence en ce qui concerne l’intégration des risques de durabilité et la prise en compte des incidences négatives en matière de durabilité dans les décisions d’investissement, ainsi que la fourniture d’informations en matière de durabilité des produits financiers.</w:t>
      </w:r>
    </w:p>
    <w:p w14:paraId="335921C0" w14:textId="77777777" w:rsidR="00FB2B56" w:rsidRPr="000F49D3" w:rsidRDefault="00FB2B56" w:rsidP="004F53FD">
      <w:pPr>
        <w:spacing w:line="247" w:lineRule="auto"/>
        <w:jc w:val="both"/>
        <w:rPr>
          <w:rFonts w:ascii="Verdana" w:hAnsi="Verdana"/>
          <w:b/>
          <w:bCs/>
          <w:color w:val="222A35" w:themeColor="text2" w:themeShade="80"/>
          <w:sz w:val="17"/>
          <w:szCs w:val="17"/>
          <w:lang w:val="fr-FR"/>
        </w:rPr>
      </w:pPr>
    </w:p>
    <w:p w14:paraId="77A9FD22" w14:textId="72287CFF" w:rsidR="004F53FD" w:rsidRPr="000F49D3" w:rsidRDefault="005736A2" w:rsidP="004F53FD">
      <w:pPr>
        <w:spacing w:line="247" w:lineRule="auto"/>
        <w:jc w:val="both"/>
        <w:rPr>
          <w:rFonts w:ascii="Verdana" w:hAnsi="Verdana"/>
          <w:b/>
          <w:bCs/>
          <w:color w:val="222A35" w:themeColor="text2" w:themeShade="80"/>
          <w:sz w:val="17"/>
          <w:szCs w:val="17"/>
          <w:lang w:val="fr-FR"/>
        </w:rPr>
      </w:pPr>
      <w:r w:rsidRPr="000F49D3">
        <w:rPr>
          <w:rFonts w:ascii="Verdana" w:hAnsi="Verdana"/>
          <w:b/>
          <w:bCs/>
          <w:color w:val="222A35" w:themeColor="text2" w:themeShade="80"/>
          <w:sz w:val="17"/>
          <w:szCs w:val="17"/>
          <w:lang w:val="fr-FR"/>
        </w:rPr>
        <w:t>Le cabinet AM Courtage &amp; Patrimoine (AMCP)</w:t>
      </w:r>
      <w:r w:rsidR="00FB2B56" w:rsidRPr="000F49D3">
        <w:rPr>
          <w:rFonts w:ascii="Verdana" w:hAnsi="Verdana"/>
          <w:b/>
          <w:bCs/>
          <w:color w:val="222A35" w:themeColor="text2" w:themeShade="80"/>
          <w:sz w:val="17"/>
          <w:szCs w:val="17"/>
          <w:lang w:val="fr-FR"/>
        </w:rPr>
        <w:t xml:space="preserve">, s’inscrivant dans cette démarche, </w:t>
      </w:r>
      <w:r w:rsidR="004F53FD" w:rsidRPr="000F49D3">
        <w:rPr>
          <w:rFonts w:ascii="Verdana" w:hAnsi="Verdana"/>
          <w:b/>
          <w:bCs/>
          <w:color w:val="222A35" w:themeColor="text2" w:themeShade="80"/>
          <w:sz w:val="17"/>
          <w:szCs w:val="17"/>
          <w:lang w:val="fr-FR"/>
        </w:rPr>
        <w:t xml:space="preserve">est soumis au Règlement (UE) 2019/2088 du Parlement Européen et du Conseil du 27 novembre 2019 sur la publication d’informations en matière de durabilité dans le secteur des services financiers. </w:t>
      </w:r>
      <w:r w:rsidR="007F4375" w:rsidRPr="000F49D3">
        <w:rPr>
          <w:rFonts w:ascii="Verdana" w:hAnsi="Verdana"/>
          <w:b/>
          <w:bCs/>
          <w:color w:val="222A35" w:themeColor="text2" w:themeShade="80"/>
          <w:sz w:val="17"/>
          <w:szCs w:val="17"/>
          <w:lang w:val="fr-FR"/>
        </w:rPr>
        <w:t>La présente politique est ainsi établie conformément à son article 3.</w:t>
      </w:r>
    </w:p>
    <w:p w14:paraId="538158AF" w14:textId="77777777" w:rsidR="00FB2B56" w:rsidRPr="000F49D3" w:rsidRDefault="00FB2B56" w:rsidP="004F53FD">
      <w:pPr>
        <w:spacing w:line="247" w:lineRule="auto"/>
        <w:jc w:val="both"/>
        <w:rPr>
          <w:rFonts w:ascii="Verdana" w:hAnsi="Verdana"/>
          <w:b/>
          <w:bCs/>
          <w:color w:val="222A35" w:themeColor="text2" w:themeShade="80"/>
          <w:sz w:val="17"/>
          <w:szCs w:val="17"/>
          <w:lang w:val="fr-FR"/>
        </w:rPr>
      </w:pPr>
    </w:p>
    <w:p w14:paraId="77632CDF" w14:textId="0E93278B" w:rsidR="004F53FD" w:rsidRPr="000F49D3" w:rsidRDefault="00324CD1" w:rsidP="004F53FD">
      <w:pPr>
        <w:spacing w:line="247" w:lineRule="auto"/>
        <w:jc w:val="both"/>
        <w:rPr>
          <w:rFonts w:ascii="Verdana" w:hAnsi="Verdana"/>
          <w:b/>
          <w:bCs/>
          <w:color w:val="222A35" w:themeColor="text2" w:themeShade="80"/>
          <w:sz w:val="17"/>
          <w:szCs w:val="17"/>
          <w:lang w:val="fr-FR"/>
        </w:rPr>
      </w:pPr>
      <w:r w:rsidRPr="000F49D3">
        <w:rPr>
          <w:rFonts w:ascii="Verdana" w:hAnsi="Verdana"/>
          <w:b/>
          <w:bCs/>
          <w:color w:val="222A35" w:themeColor="text2" w:themeShade="80"/>
          <w:sz w:val="17"/>
          <w:szCs w:val="17"/>
          <w:lang w:val="fr-FR"/>
        </w:rPr>
        <w:t>1/</w:t>
      </w:r>
      <w:r w:rsidR="004F53FD" w:rsidRPr="000F49D3">
        <w:rPr>
          <w:rFonts w:ascii="Verdana" w:hAnsi="Verdana"/>
          <w:b/>
          <w:bCs/>
          <w:color w:val="222A35" w:themeColor="text2" w:themeShade="80"/>
          <w:sz w:val="17"/>
          <w:szCs w:val="17"/>
          <w:lang w:val="fr-FR"/>
        </w:rPr>
        <w:t xml:space="preserve">Informations sur les </w:t>
      </w:r>
      <w:r w:rsidR="00FB2B56" w:rsidRPr="000F49D3">
        <w:rPr>
          <w:rFonts w:ascii="Verdana" w:hAnsi="Verdana"/>
          <w:b/>
          <w:bCs/>
          <w:color w:val="222A35" w:themeColor="text2" w:themeShade="80"/>
          <w:sz w:val="17"/>
          <w:szCs w:val="17"/>
          <w:lang w:val="fr-FR"/>
        </w:rPr>
        <w:t>risques de durabilité</w:t>
      </w:r>
    </w:p>
    <w:p w14:paraId="4D60D0A4" w14:textId="77777777" w:rsidR="00FB2B56" w:rsidRPr="000F49D3" w:rsidRDefault="00FB2B56" w:rsidP="004F53FD">
      <w:pPr>
        <w:spacing w:line="247" w:lineRule="auto"/>
        <w:jc w:val="both"/>
        <w:rPr>
          <w:rFonts w:ascii="Verdana" w:hAnsi="Verdana"/>
          <w:b/>
          <w:bCs/>
          <w:color w:val="222A35" w:themeColor="text2" w:themeShade="80"/>
          <w:sz w:val="17"/>
          <w:szCs w:val="17"/>
          <w:lang w:val="fr-FR"/>
        </w:rPr>
      </w:pPr>
    </w:p>
    <w:p w14:paraId="16621026" w14:textId="26D3ED68" w:rsidR="00FB2B56" w:rsidRPr="000F49D3" w:rsidRDefault="005736A2" w:rsidP="00FB2B56">
      <w:pPr>
        <w:spacing w:line="247" w:lineRule="auto"/>
        <w:jc w:val="both"/>
        <w:rPr>
          <w:rFonts w:ascii="Verdana" w:hAnsi="Verdana"/>
          <w:b/>
          <w:bCs/>
          <w:color w:val="222A35" w:themeColor="text2" w:themeShade="80"/>
          <w:sz w:val="17"/>
          <w:szCs w:val="17"/>
          <w:lang w:val="fr-FR"/>
        </w:rPr>
      </w:pPr>
      <w:r w:rsidRPr="000F49D3">
        <w:rPr>
          <w:rFonts w:ascii="Verdana" w:hAnsi="Verdana"/>
          <w:b/>
          <w:bCs/>
          <w:color w:val="222A35" w:themeColor="text2" w:themeShade="80"/>
          <w:sz w:val="17"/>
          <w:szCs w:val="17"/>
          <w:lang w:val="fr-FR"/>
        </w:rPr>
        <w:t>Le cabinet AM Courtage &amp; Patrimoine (AMCP)</w:t>
      </w:r>
      <w:r w:rsidR="00E756BF" w:rsidRPr="000F49D3">
        <w:rPr>
          <w:rFonts w:ascii="Verdana" w:hAnsi="Verdana"/>
          <w:b/>
          <w:bCs/>
          <w:color w:val="222A35" w:themeColor="text2" w:themeShade="80"/>
          <w:sz w:val="17"/>
          <w:szCs w:val="17"/>
          <w:lang w:val="fr-FR"/>
        </w:rPr>
        <w:t xml:space="preserve"> </w:t>
      </w:r>
      <w:r w:rsidR="00FB2B56" w:rsidRPr="000F49D3">
        <w:rPr>
          <w:rFonts w:ascii="Verdana" w:hAnsi="Verdana"/>
          <w:b/>
          <w:bCs/>
          <w:color w:val="222A35" w:themeColor="text2" w:themeShade="80"/>
          <w:sz w:val="17"/>
          <w:szCs w:val="17"/>
          <w:lang w:val="fr-FR"/>
        </w:rPr>
        <w:t>met en place une politique de sélection des produits financiers notamment sur la base des critères suivants</w:t>
      </w:r>
      <w:r w:rsidR="00F35675" w:rsidRPr="000F49D3">
        <w:rPr>
          <w:rFonts w:ascii="Verdana" w:hAnsi="Verdana"/>
          <w:b/>
          <w:bCs/>
          <w:color w:val="222A35" w:themeColor="text2" w:themeShade="80"/>
          <w:sz w:val="17"/>
          <w:szCs w:val="17"/>
          <w:lang w:val="fr-FR"/>
        </w:rPr>
        <w:t xml:space="preserve"> : </w:t>
      </w:r>
    </w:p>
    <w:p w14:paraId="1789BAB0" w14:textId="77777777" w:rsidR="00FB2B56" w:rsidRPr="000F49D3" w:rsidRDefault="00FB2B56" w:rsidP="00FB2B56">
      <w:pPr>
        <w:spacing w:line="247" w:lineRule="auto"/>
        <w:jc w:val="both"/>
        <w:rPr>
          <w:rFonts w:ascii="Verdana" w:hAnsi="Verdana"/>
          <w:b/>
          <w:bCs/>
          <w:color w:val="222A35" w:themeColor="text2" w:themeShade="80"/>
          <w:sz w:val="17"/>
          <w:szCs w:val="17"/>
          <w:lang w:val="fr-FR"/>
        </w:rPr>
      </w:pPr>
    </w:p>
    <w:p w14:paraId="45A30981" w14:textId="107DC03B" w:rsidR="00FB2B56" w:rsidRPr="000F49D3" w:rsidRDefault="00FB2B56" w:rsidP="00FB2B56">
      <w:pPr>
        <w:pStyle w:val="Paragraphedeliste"/>
        <w:numPr>
          <w:ilvl w:val="0"/>
          <w:numId w:val="14"/>
        </w:numPr>
        <w:spacing w:line="247" w:lineRule="auto"/>
        <w:jc w:val="both"/>
        <w:rPr>
          <w:rFonts w:ascii="Verdana" w:hAnsi="Verdana"/>
          <w:b/>
          <w:bCs/>
          <w:color w:val="222A35" w:themeColor="text2" w:themeShade="80"/>
          <w:sz w:val="17"/>
          <w:szCs w:val="17"/>
        </w:rPr>
      </w:pPr>
      <w:r w:rsidRPr="000F49D3">
        <w:rPr>
          <w:rFonts w:ascii="Verdana" w:hAnsi="Verdana"/>
          <w:b/>
          <w:bCs/>
          <w:color w:val="222A35" w:themeColor="text2" w:themeShade="80"/>
          <w:sz w:val="17"/>
          <w:szCs w:val="17"/>
        </w:rPr>
        <w:t>Une politique d’exclusion</w:t>
      </w:r>
      <w:r w:rsidR="00C863BD" w:rsidRPr="000F49D3">
        <w:rPr>
          <w:rFonts w:ascii="Verdana" w:hAnsi="Verdana"/>
          <w:b/>
          <w:bCs/>
          <w:color w:val="222A35" w:themeColor="text2" w:themeShade="80"/>
          <w:sz w:val="17"/>
          <w:szCs w:val="17"/>
        </w:rPr>
        <w:t xml:space="preserve"> permettant d’exclure certains produits dont les sous-jacents</w:t>
      </w:r>
      <w:r w:rsidR="00987D39" w:rsidRPr="000F49D3">
        <w:rPr>
          <w:rFonts w:ascii="Verdana" w:hAnsi="Verdana"/>
          <w:b/>
          <w:bCs/>
          <w:color w:val="222A35" w:themeColor="text2" w:themeShade="80"/>
          <w:sz w:val="17"/>
          <w:szCs w:val="17"/>
        </w:rPr>
        <w:t xml:space="preserve"> ne correspondent pas aux valeurs de l’entreprise</w:t>
      </w:r>
      <w:r w:rsidR="005736A2" w:rsidRPr="000F49D3">
        <w:rPr>
          <w:rFonts w:ascii="Verdana" w:hAnsi="Verdana"/>
          <w:b/>
          <w:bCs/>
          <w:color w:val="222A35" w:themeColor="text2" w:themeShade="80"/>
          <w:sz w:val="17"/>
          <w:szCs w:val="17"/>
        </w:rPr>
        <w:t> tel que le financement du terrorisme, des partis occultes, des trafiquants de drogue, le trafic d’être humain ou le commerce d’armes</w:t>
      </w:r>
      <w:r w:rsidR="00987D39" w:rsidRPr="000F49D3">
        <w:rPr>
          <w:rFonts w:ascii="Verdana" w:hAnsi="Verdana"/>
          <w:b/>
          <w:bCs/>
          <w:color w:val="222A35" w:themeColor="text2" w:themeShade="80"/>
          <w:sz w:val="17"/>
          <w:szCs w:val="17"/>
        </w:rPr>
        <w:t>.</w:t>
      </w:r>
    </w:p>
    <w:p w14:paraId="6B4F0CC4" w14:textId="11CBDE82" w:rsidR="004F53FD" w:rsidRPr="000F49D3" w:rsidRDefault="00FB2B56" w:rsidP="004F53FD">
      <w:pPr>
        <w:pStyle w:val="Paragraphedeliste"/>
        <w:numPr>
          <w:ilvl w:val="0"/>
          <w:numId w:val="14"/>
        </w:numPr>
        <w:spacing w:line="247" w:lineRule="auto"/>
        <w:jc w:val="both"/>
        <w:rPr>
          <w:rFonts w:ascii="Verdana" w:hAnsi="Verdana"/>
          <w:b/>
          <w:bCs/>
          <w:color w:val="222A35" w:themeColor="text2" w:themeShade="80"/>
          <w:sz w:val="17"/>
          <w:szCs w:val="17"/>
        </w:rPr>
      </w:pPr>
      <w:r w:rsidRPr="000F49D3">
        <w:rPr>
          <w:rFonts w:ascii="Verdana" w:hAnsi="Verdana"/>
          <w:b/>
          <w:bCs/>
          <w:color w:val="222A35" w:themeColor="text2" w:themeShade="80"/>
          <w:sz w:val="17"/>
          <w:szCs w:val="17"/>
        </w:rPr>
        <w:t>Une sélection des investissements, notamment sur la base de</w:t>
      </w:r>
      <w:r w:rsidR="00841EE0" w:rsidRPr="000F49D3">
        <w:rPr>
          <w:rFonts w:ascii="Verdana" w:hAnsi="Verdana"/>
          <w:b/>
          <w:bCs/>
          <w:color w:val="222A35" w:themeColor="text2" w:themeShade="80"/>
          <w:sz w:val="17"/>
          <w:szCs w:val="17"/>
        </w:rPr>
        <w:t xml:space="preserve"> la gouvernance produits qu’il </w:t>
      </w:r>
      <w:r w:rsidR="00750500" w:rsidRPr="000F49D3">
        <w:rPr>
          <w:rFonts w:ascii="Verdana" w:hAnsi="Verdana"/>
          <w:b/>
          <w:bCs/>
          <w:color w:val="222A35" w:themeColor="text2" w:themeShade="80"/>
          <w:sz w:val="17"/>
          <w:szCs w:val="17"/>
        </w:rPr>
        <w:t>m</w:t>
      </w:r>
      <w:r w:rsidR="00841EE0" w:rsidRPr="000F49D3">
        <w:rPr>
          <w:rFonts w:ascii="Verdana" w:hAnsi="Verdana"/>
          <w:b/>
          <w:bCs/>
          <w:color w:val="222A35" w:themeColor="text2" w:themeShade="80"/>
          <w:sz w:val="17"/>
          <w:szCs w:val="17"/>
        </w:rPr>
        <w:t>et en place au sein du cabinet et qui lui permet de sélectionner des investissements</w:t>
      </w:r>
      <w:r w:rsidR="00DD2D26" w:rsidRPr="000F49D3">
        <w:rPr>
          <w:rFonts w:ascii="Verdana" w:hAnsi="Verdana"/>
          <w:b/>
          <w:bCs/>
          <w:color w:val="222A35" w:themeColor="text2" w:themeShade="80"/>
          <w:sz w:val="17"/>
          <w:szCs w:val="17"/>
        </w:rPr>
        <w:t xml:space="preserve"> répondant aux préférences de ses clients en matière de durabilité</w:t>
      </w:r>
      <w:r w:rsidR="00441662" w:rsidRPr="000F49D3">
        <w:rPr>
          <w:rFonts w:ascii="Verdana" w:hAnsi="Verdana"/>
          <w:b/>
          <w:bCs/>
          <w:color w:val="222A35" w:themeColor="text2" w:themeShade="80"/>
          <w:sz w:val="17"/>
          <w:szCs w:val="17"/>
        </w:rPr>
        <w:t>.</w:t>
      </w:r>
    </w:p>
    <w:p w14:paraId="3E8D17B5" w14:textId="30FD6EBF" w:rsidR="003C7F9F" w:rsidRPr="000F49D3" w:rsidRDefault="00AC5EBA" w:rsidP="00434330">
      <w:pPr>
        <w:pStyle w:val="Paragraphedeliste"/>
        <w:numPr>
          <w:ilvl w:val="0"/>
          <w:numId w:val="14"/>
        </w:numPr>
        <w:spacing w:line="247" w:lineRule="auto"/>
        <w:jc w:val="both"/>
        <w:rPr>
          <w:rFonts w:ascii="Verdana" w:hAnsi="Verdana"/>
          <w:b/>
          <w:bCs/>
          <w:color w:val="222A35" w:themeColor="text2" w:themeShade="80"/>
          <w:sz w:val="17"/>
          <w:szCs w:val="17"/>
        </w:rPr>
      </w:pPr>
      <w:r w:rsidRPr="000F49D3">
        <w:rPr>
          <w:rFonts w:ascii="Verdana" w:hAnsi="Verdana"/>
          <w:b/>
          <w:bCs/>
          <w:color w:val="222A35" w:themeColor="text2" w:themeShade="80"/>
          <w:sz w:val="17"/>
          <w:szCs w:val="17"/>
        </w:rPr>
        <w:t xml:space="preserve">La </w:t>
      </w:r>
      <w:r w:rsidR="00D8054F" w:rsidRPr="000F49D3">
        <w:rPr>
          <w:rFonts w:ascii="Verdana" w:hAnsi="Verdana"/>
          <w:b/>
          <w:bCs/>
          <w:color w:val="222A35" w:themeColor="text2" w:themeShade="80"/>
          <w:sz w:val="17"/>
          <w:szCs w:val="17"/>
        </w:rPr>
        <w:t>p</w:t>
      </w:r>
      <w:r w:rsidRPr="000F49D3">
        <w:rPr>
          <w:rFonts w:ascii="Verdana" w:hAnsi="Verdana"/>
          <w:b/>
          <w:bCs/>
          <w:color w:val="222A35" w:themeColor="text2" w:themeShade="80"/>
          <w:sz w:val="17"/>
          <w:szCs w:val="17"/>
        </w:rPr>
        <w:t xml:space="preserve">rise en compte des critères environnementaux (E), </w:t>
      </w:r>
      <w:r w:rsidR="00D64559" w:rsidRPr="000F49D3">
        <w:rPr>
          <w:rFonts w:ascii="Verdana" w:hAnsi="Verdana"/>
          <w:b/>
          <w:bCs/>
          <w:color w:val="222A35" w:themeColor="text2" w:themeShade="80"/>
          <w:sz w:val="17"/>
          <w:szCs w:val="17"/>
        </w:rPr>
        <w:t>sociaux (S) ou de gouvernance (G) des produits.</w:t>
      </w:r>
    </w:p>
    <w:p w14:paraId="5A45EAD1" w14:textId="4A4D0287" w:rsidR="00580E53" w:rsidRPr="000F49D3" w:rsidRDefault="00580E53" w:rsidP="00580E53">
      <w:pPr>
        <w:spacing w:line="247" w:lineRule="auto"/>
        <w:jc w:val="both"/>
        <w:rPr>
          <w:rFonts w:ascii="Verdana" w:hAnsi="Verdana"/>
          <w:b/>
          <w:bCs/>
          <w:color w:val="222A35" w:themeColor="text2" w:themeShade="80"/>
          <w:sz w:val="17"/>
          <w:szCs w:val="17"/>
          <w:lang w:val="fr-FR"/>
        </w:rPr>
      </w:pPr>
      <w:r w:rsidRPr="000F49D3">
        <w:rPr>
          <w:rFonts w:ascii="Verdana" w:hAnsi="Verdana"/>
          <w:b/>
          <w:bCs/>
          <w:color w:val="222A35" w:themeColor="text2" w:themeShade="80"/>
          <w:sz w:val="17"/>
          <w:szCs w:val="17"/>
          <w:lang w:val="fr-FR"/>
        </w:rPr>
        <w:t>Assurance</w:t>
      </w:r>
    </w:p>
    <w:p w14:paraId="4DFBEA77" w14:textId="77777777" w:rsidR="00580E53" w:rsidRPr="000F49D3" w:rsidRDefault="00580E53" w:rsidP="00580E53">
      <w:pPr>
        <w:spacing w:line="247" w:lineRule="auto"/>
        <w:jc w:val="both"/>
        <w:rPr>
          <w:rFonts w:ascii="Verdana" w:hAnsi="Verdana"/>
          <w:b/>
          <w:bCs/>
          <w:color w:val="222A35" w:themeColor="text2" w:themeShade="80"/>
          <w:sz w:val="17"/>
          <w:szCs w:val="17"/>
          <w:lang w:val="fr-FR"/>
        </w:rPr>
      </w:pPr>
    </w:p>
    <w:p w14:paraId="7EF9823C" w14:textId="6848598E" w:rsidR="00434330" w:rsidRPr="000F49D3" w:rsidRDefault="00BE0E35" w:rsidP="00434330">
      <w:pPr>
        <w:spacing w:line="247" w:lineRule="auto"/>
        <w:jc w:val="both"/>
        <w:rPr>
          <w:rFonts w:ascii="Verdana" w:hAnsi="Verdana"/>
          <w:b/>
          <w:bCs/>
          <w:color w:val="222A35" w:themeColor="text2" w:themeShade="80"/>
          <w:sz w:val="17"/>
          <w:szCs w:val="17"/>
          <w:lang w:val="fr-FR"/>
        </w:rPr>
      </w:pPr>
      <w:r w:rsidRPr="000F49D3">
        <w:rPr>
          <w:rFonts w:ascii="Verdana" w:hAnsi="Verdana"/>
          <w:b/>
          <w:bCs/>
          <w:color w:val="222A35" w:themeColor="text2" w:themeShade="80"/>
          <w:sz w:val="17"/>
          <w:szCs w:val="17"/>
          <w:lang w:val="fr-FR"/>
        </w:rPr>
        <w:t>En matière assurantiel</w:t>
      </w:r>
      <w:r w:rsidR="00580E53" w:rsidRPr="000F49D3">
        <w:rPr>
          <w:rFonts w:ascii="Verdana" w:hAnsi="Verdana"/>
          <w:b/>
          <w:bCs/>
          <w:color w:val="222A35" w:themeColor="text2" w:themeShade="80"/>
          <w:sz w:val="17"/>
          <w:szCs w:val="17"/>
          <w:lang w:val="fr-FR"/>
        </w:rPr>
        <w:t>le</w:t>
      </w:r>
      <w:r w:rsidRPr="000F49D3">
        <w:rPr>
          <w:rFonts w:ascii="Verdana" w:hAnsi="Verdana"/>
          <w:b/>
          <w:bCs/>
          <w:color w:val="222A35" w:themeColor="text2" w:themeShade="80"/>
          <w:sz w:val="17"/>
          <w:szCs w:val="17"/>
          <w:lang w:val="fr-FR"/>
        </w:rPr>
        <w:t xml:space="preserve">, il </w:t>
      </w:r>
      <w:r w:rsidR="00434330" w:rsidRPr="000F49D3">
        <w:rPr>
          <w:rFonts w:ascii="Verdana" w:hAnsi="Verdana"/>
          <w:b/>
          <w:bCs/>
          <w:color w:val="222A35" w:themeColor="text2" w:themeShade="80"/>
          <w:sz w:val="17"/>
          <w:szCs w:val="17"/>
          <w:lang w:val="fr-FR"/>
        </w:rPr>
        <w:t xml:space="preserve">est rappelé, par ailleurs, </w:t>
      </w:r>
      <w:r w:rsidR="003D6896" w:rsidRPr="000F49D3">
        <w:rPr>
          <w:rFonts w:ascii="Verdana" w:hAnsi="Verdana"/>
          <w:b/>
          <w:bCs/>
          <w:color w:val="222A35" w:themeColor="text2" w:themeShade="80"/>
          <w:sz w:val="17"/>
          <w:szCs w:val="17"/>
          <w:lang w:val="fr-FR"/>
        </w:rPr>
        <w:t xml:space="preserve">que </w:t>
      </w:r>
      <w:r w:rsidR="00434330" w:rsidRPr="000F49D3">
        <w:rPr>
          <w:rFonts w:ascii="Verdana" w:hAnsi="Verdana"/>
          <w:b/>
          <w:bCs/>
          <w:color w:val="222A35" w:themeColor="text2" w:themeShade="80"/>
          <w:sz w:val="17"/>
          <w:szCs w:val="17"/>
          <w:lang w:val="fr-FR"/>
        </w:rPr>
        <w:t xml:space="preserve">l'assureur doit proposer aux souscripteurs ou aux adhérents, </w:t>
      </w:r>
      <w:r w:rsidR="0058618E" w:rsidRPr="000F49D3">
        <w:rPr>
          <w:rFonts w:ascii="Verdana" w:hAnsi="Verdana"/>
          <w:b/>
          <w:bCs/>
          <w:color w:val="222A35" w:themeColor="text2" w:themeShade="80"/>
          <w:sz w:val="17"/>
          <w:szCs w:val="17"/>
          <w:lang w:val="fr-FR"/>
        </w:rPr>
        <w:t>des unités de compte</w:t>
      </w:r>
      <w:r w:rsidR="00570B0D" w:rsidRPr="000F49D3">
        <w:rPr>
          <w:rFonts w:ascii="Verdana" w:hAnsi="Verdana"/>
          <w:b/>
          <w:bCs/>
          <w:color w:val="222A35" w:themeColor="text2" w:themeShade="80"/>
          <w:sz w:val="17"/>
          <w:szCs w:val="17"/>
          <w:lang w:val="fr-FR"/>
        </w:rPr>
        <w:t xml:space="preserve"> </w:t>
      </w:r>
      <w:r w:rsidR="00434330" w:rsidRPr="000F49D3">
        <w:rPr>
          <w:rFonts w:ascii="Verdana" w:hAnsi="Verdana"/>
          <w:b/>
          <w:bCs/>
          <w:color w:val="222A35" w:themeColor="text2" w:themeShade="80"/>
          <w:sz w:val="17"/>
          <w:szCs w:val="17"/>
          <w:lang w:val="fr-FR"/>
        </w:rPr>
        <w:t xml:space="preserve">constituée de valeurs mobilières, </w:t>
      </w:r>
      <w:r w:rsidR="001A4902" w:rsidRPr="000F49D3">
        <w:rPr>
          <w:rFonts w:ascii="Verdana" w:hAnsi="Verdana"/>
          <w:b/>
          <w:bCs/>
          <w:color w:val="222A35" w:themeColor="text2" w:themeShade="80"/>
          <w:sz w:val="17"/>
          <w:szCs w:val="17"/>
          <w:lang w:val="fr-FR"/>
        </w:rPr>
        <w:t>de fonds</w:t>
      </w:r>
      <w:r w:rsidR="00EA4A48" w:rsidRPr="000F49D3">
        <w:rPr>
          <w:rFonts w:ascii="Verdana" w:hAnsi="Verdana"/>
          <w:b/>
          <w:bCs/>
          <w:color w:val="222A35" w:themeColor="text2" w:themeShade="80"/>
          <w:sz w:val="17"/>
          <w:szCs w:val="17"/>
          <w:lang w:val="fr-FR"/>
        </w:rPr>
        <w:t xml:space="preserve"> d’investiss</w:t>
      </w:r>
      <w:r w:rsidR="006F7EE2" w:rsidRPr="000F49D3">
        <w:rPr>
          <w:rFonts w:ascii="Verdana" w:hAnsi="Verdana"/>
          <w:b/>
          <w:bCs/>
          <w:color w:val="222A35" w:themeColor="text2" w:themeShade="80"/>
          <w:sz w:val="17"/>
          <w:szCs w:val="17"/>
          <w:lang w:val="fr-FR"/>
        </w:rPr>
        <w:t>e</w:t>
      </w:r>
      <w:r w:rsidR="00EA4A48" w:rsidRPr="000F49D3">
        <w:rPr>
          <w:rFonts w:ascii="Verdana" w:hAnsi="Verdana"/>
          <w:b/>
          <w:bCs/>
          <w:color w:val="222A35" w:themeColor="text2" w:themeShade="80"/>
          <w:sz w:val="17"/>
          <w:szCs w:val="17"/>
          <w:lang w:val="fr-FR"/>
        </w:rPr>
        <w:t>ment</w:t>
      </w:r>
      <w:r w:rsidR="001A4902" w:rsidRPr="000F49D3">
        <w:rPr>
          <w:rFonts w:ascii="Verdana" w:hAnsi="Verdana"/>
          <w:b/>
          <w:bCs/>
          <w:color w:val="222A35" w:themeColor="text2" w:themeShade="80"/>
          <w:sz w:val="17"/>
          <w:szCs w:val="17"/>
          <w:lang w:val="fr-FR"/>
        </w:rPr>
        <w:t xml:space="preserve"> de type FCPR, de sociétés de capital risques</w:t>
      </w:r>
      <w:r w:rsidR="00990106" w:rsidRPr="000F49D3">
        <w:rPr>
          <w:rFonts w:ascii="Verdana" w:hAnsi="Verdana"/>
          <w:b/>
          <w:bCs/>
          <w:color w:val="222A35" w:themeColor="text2" w:themeShade="80"/>
          <w:sz w:val="17"/>
          <w:szCs w:val="17"/>
          <w:lang w:val="fr-FR"/>
        </w:rPr>
        <w:t>,</w:t>
      </w:r>
      <w:r w:rsidR="004905D5" w:rsidRPr="000F49D3">
        <w:rPr>
          <w:rFonts w:ascii="Verdana" w:hAnsi="Verdana"/>
          <w:b/>
          <w:bCs/>
          <w:color w:val="222A35" w:themeColor="text2" w:themeShade="80"/>
          <w:sz w:val="17"/>
          <w:szCs w:val="17"/>
          <w:lang w:val="fr-FR"/>
        </w:rPr>
        <w:t xml:space="preserve"> </w:t>
      </w:r>
      <w:r w:rsidR="00434330" w:rsidRPr="000F49D3">
        <w:rPr>
          <w:rFonts w:ascii="Verdana" w:hAnsi="Verdana"/>
          <w:b/>
          <w:bCs/>
          <w:color w:val="222A35" w:themeColor="text2" w:themeShade="80"/>
          <w:sz w:val="17"/>
          <w:szCs w:val="17"/>
          <w:lang w:val="fr-FR"/>
        </w:rPr>
        <w:t>ou d</w:t>
      </w:r>
      <w:r w:rsidR="003D6896" w:rsidRPr="000F49D3">
        <w:rPr>
          <w:rFonts w:ascii="Verdana" w:hAnsi="Verdana"/>
          <w:b/>
          <w:bCs/>
          <w:color w:val="222A35" w:themeColor="text2" w:themeShade="80"/>
          <w:sz w:val="17"/>
          <w:szCs w:val="17"/>
          <w:lang w:val="fr-FR"/>
        </w:rPr>
        <w:t>’a</w:t>
      </w:r>
      <w:r w:rsidR="00434330" w:rsidRPr="000F49D3">
        <w:rPr>
          <w:rFonts w:ascii="Verdana" w:hAnsi="Verdana"/>
          <w:b/>
          <w:bCs/>
          <w:color w:val="222A35" w:themeColor="text2" w:themeShade="80"/>
          <w:sz w:val="17"/>
          <w:szCs w:val="17"/>
          <w:lang w:val="fr-FR"/>
        </w:rPr>
        <w:t>ctifs</w:t>
      </w:r>
      <w:r w:rsidR="004905D5" w:rsidRPr="000F49D3">
        <w:rPr>
          <w:rFonts w:ascii="Verdana" w:hAnsi="Verdana"/>
          <w:b/>
          <w:bCs/>
          <w:color w:val="222A35" w:themeColor="text2" w:themeShade="80"/>
          <w:sz w:val="17"/>
          <w:szCs w:val="17"/>
          <w:lang w:val="fr-FR"/>
        </w:rPr>
        <w:t xml:space="preserve"> labélisés</w:t>
      </w:r>
      <w:r w:rsidR="00434330" w:rsidRPr="000F49D3">
        <w:rPr>
          <w:rFonts w:ascii="Verdana" w:hAnsi="Verdana"/>
          <w:b/>
          <w:bCs/>
          <w:color w:val="222A35" w:themeColor="text2" w:themeShade="80"/>
          <w:sz w:val="17"/>
          <w:szCs w:val="17"/>
          <w:lang w:val="fr-FR"/>
        </w:rPr>
        <w:t xml:space="preserve"> qui contribuent au financement de la transition énergétique et écologique, à l'investissement socialement responsable ou au financement des entreprises solidaires d'utilité sociale</w:t>
      </w:r>
      <w:r w:rsidR="003D6896" w:rsidRPr="000F49D3">
        <w:rPr>
          <w:rFonts w:ascii="Verdana" w:hAnsi="Verdana"/>
          <w:b/>
          <w:bCs/>
          <w:color w:val="222A35" w:themeColor="text2" w:themeShade="80"/>
          <w:sz w:val="17"/>
          <w:szCs w:val="17"/>
          <w:lang w:val="fr-FR"/>
        </w:rPr>
        <w:t xml:space="preserve"> (liste mentionnée à l'article L. 131-1-2 du Code des assurances).</w:t>
      </w:r>
    </w:p>
    <w:p w14:paraId="1C7AA6F8" w14:textId="77777777" w:rsidR="00322D8B" w:rsidRPr="000F49D3" w:rsidRDefault="00322D8B" w:rsidP="00434330">
      <w:pPr>
        <w:spacing w:line="247" w:lineRule="auto"/>
        <w:jc w:val="both"/>
        <w:rPr>
          <w:rFonts w:ascii="Verdana" w:hAnsi="Verdana"/>
          <w:b/>
          <w:bCs/>
          <w:color w:val="222A35" w:themeColor="text2" w:themeShade="80"/>
          <w:sz w:val="17"/>
          <w:szCs w:val="17"/>
          <w:highlight w:val="yellow"/>
          <w:lang w:val="fr-FR"/>
        </w:rPr>
      </w:pPr>
    </w:p>
    <w:p w14:paraId="5756D433" w14:textId="2A646ACD" w:rsidR="00FE209E" w:rsidRPr="000F49D3" w:rsidRDefault="004F53FD" w:rsidP="004F53FD">
      <w:pPr>
        <w:spacing w:line="247" w:lineRule="auto"/>
        <w:jc w:val="both"/>
        <w:rPr>
          <w:rFonts w:ascii="Verdana" w:hAnsi="Verdana"/>
          <w:b/>
          <w:bCs/>
          <w:color w:val="222A35" w:themeColor="text2" w:themeShade="80"/>
          <w:sz w:val="17"/>
          <w:szCs w:val="17"/>
          <w:lang w:val="fr-FR"/>
        </w:rPr>
      </w:pPr>
      <w:r w:rsidRPr="000F49D3">
        <w:rPr>
          <w:rFonts w:ascii="Verdana" w:hAnsi="Verdana"/>
          <w:b/>
          <w:bCs/>
          <w:color w:val="222A35" w:themeColor="text2" w:themeShade="80"/>
          <w:sz w:val="17"/>
          <w:szCs w:val="17"/>
          <w:lang w:val="fr-FR"/>
        </w:rPr>
        <w:t>En ce qui concerne</w:t>
      </w:r>
      <w:r w:rsidR="00FB2B56" w:rsidRPr="000F49D3">
        <w:rPr>
          <w:rFonts w:ascii="Verdana" w:hAnsi="Verdana"/>
          <w:b/>
          <w:bCs/>
          <w:color w:val="222A35" w:themeColor="text2" w:themeShade="80"/>
          <w:sz w:val="17"/>
          <w:szCs w:val="17"/>
          <w:lang w:val="fr-FR"/>
        </w:rPr>
        <w:t xml:space="preserve"> plus particulièrement les produits assurantiels proposés par </w:t>
      </w:r>
      <w:r w:rsidR="00D8054F" w:rsidRPr="000F49D3">
        <w:rPr>
          <w:rFonts w:ascii="Verdana" w:hAnsi="Verdana"/>
          <w:b/>
          <w:bCs/>
          <w:color w:val="222A35" w:themeColor="text2" w:themeShade="80"/>
          <w:sz w:val="17"/>
          <w:szCs w:val="17"/>
          <w:lang w:val="fr-FR"/>
        </w:rPr>
        <w:t xml:space="preserve">[nom du cabinet] </w:t>
      </w:r>
      <w:r w:rsidR="007F4375" w:rsidRPr="000F49D3">
        <w:rPr>
          <w:rFonts w:ascii="Verdana" w:hAnsi="Verdana"/>
          <w:b/>
          <w:bCs/>
          <w:color w:val="222A35" w:themeColor="text2" w:themeShade="80"/>
          <w:sz w:val="17"/>
          <w:szCs w:val="17"/>
          <w:lang w:val="fr-FR"/>
        </w:rPr>
        <w:t xml:space="preserve">composés notamment en UC, </w:t>
      </w:r>
      <w:r w:rsidRPr="000F49D3">
        <w:rPr>
          <w:rFonts w:ascii="Verdana" w:hAnsi="Verdana"/>
          <w:b/>
          <w:bCs/>
          <w:color w:val="222A35" w:themeColor="text2" w:themeShade="80"/>
          <w:sz w:val="17"/>
          <w:szCs w:val="17"/>
          <w:lang w:val="fr-FR"/>
        </w:rPr>
        <w:t xml:space="preserve">le client est </w:t>
      </w:r>
      <w:r w:rsidR="00BE0E35" w:rsidRPr="000F49D3">
        <w:rPr>
          <w:rFonts w:ascii="Verdana" w:hAnsi="Verdana"/>
          <w:b/>
          <w:bCs/>
          <w:color w:val="222A35" w:themeColor="text2" w:themeShade="80"/>
          <w:sz w:val="17"/>
          <w:szCs w:val="17"/>
          <w:lang w:val="fr-FR"/>
        </w:rPr>
        <w:t xml:space="preserve">ainsi </w:t>
      </w:r>
      <w:r w:rsidRPr="000F49D3">
        <w:rPr>
          <w:rFonts w:ascii="Verdana" w:hAnsi="Verdana"/>
          <w:b/>
          <w:bCs/>
          <w:color w:val="222A35" w:themeColor="text2" w:themeShade="80"/>
          <w:sz w:val="17"/>
          <w:szCs w:val="17"/>
          <w:lang w:val="fr-FR"/>
        </w:rPr>
        <w:t>invité à se reporter aux informations disponibles</w:t>
      </w:r>
      <w:r w:rsidR="009A27CE" w:rsidRPr="000F49D3">
        <w:rPr>
          <w:rFonts w:ascii="Verdana" w:hAnsi="Verdana"/>
          <w:b/>
          <w:bCs/>
          <w:color w:val="222A35" w:themeColor="text2" w:themeShade="80"/>
          <w:sz w:val="17"/>
          <w:szCs w:val="17"/>
          <w:lang w:val="fr-FR"/>
        </w:rPr>
        <w:t xml:space="preserve"> sur</w:t>
      </w:r>
      <w:r w:rsidRPr="000F49D3">
        <w:rPr>
          <w:rFonts w:ascii="Verdana" w:hAnsi="Verdana"/>
          <w:b/>
          <w:bCs/>
          <w:color w:val="222A35" w:themeColor="text2" w:themeShade="80"/>
          <w:sz w:val="17"/>
          <w:szCs w:val="17"/>
          <w:lang w:val="fr-FR"/>
        </w:rPr>
        <w:t xml:space="preserve"> </w:t>
      </w:r>
      <w:r w:rsidR="00FE209E" w:rsidRPr="000F49D3">
        <w:rPr>
          <w:rFonts w:ascii="Verdana" w:hAnsi="Verdana"/>
          <w:b/>
          <w:bCs/>
          <w:color w:val="222A35" w:themeColor="text2" w:themeShade="80"/>
          <w:sz w:val="17"/>
          <w:szCs w:val="17"/>
          <w:lang w:val="fr-FR"/>
        </w:rPr>
        <w:t>le site internet des sociétés de gestion concernées.</w:t>
      </w:r>
    </w:p>
    <w:p w14:paraId="0A99BBBA" w14:textId="77777777" w:rsidR="00580E53" w:rsidRPr="000F49D3" w:rsidRDefault="00580E53" w:rsidP="007F4375">
      <w:pPr>
        <w:spacing w:line="247" w:lineRule="auto"/>
        <w:jc w:val="both"/>
        <w:rPr>
          <w:rFonts w:ascii="Verdana" w:hAnsi="Verdana"/>
          <w:b/>
          <w:bCs/>
          <w:color w:val="222A35" w:themeColor="text2" w:themeShade="80"/>
          <w:sz w:val="17"/>
          <w:szCs w:val="17"/>
          <w:lang w:val="fr-FR"/>
        </w:rPr>
      </w:pPr>
    </w:p>
    <w:p w14:paraId="6360094E" w14:textId="21A74AA3" w:rsidR="004F53FD" w:rsidRPr="000F49D3" w:rsidRDefault="00324CD1" w:rsidP="004F53FD">
      <w:pPr>
        <w:spacing w:line="247" w:lineRule="auto"/>
        <w:jc w:val="both"/>
        <w:rPr>
          <w:rFonts w:ascii="Verdana" w:hAnsi="Verdana"/>
          <w:b/>
          <w:bCs/>
          <w:color w:val="222A35" w:themeColor="text2" w:themeShade="80"/>
          <w:sz w:val="17"/>
          <w:szCs w:val="17"/>
          <w:lang w:val="fr-FR"/>
        </w:rPr>
      </w:pPr>
      <w:r w:rsidRPr="000F49D3">
        <w:rPr>
          <w:rFonts w:ascii="Verdana" w:hAnsi="Verdana"/>
          <w:b/>
          <w:bCs/>
          <w:color w:val="222A35" w:themeColor="text2" w:themeShade="80"/>
          <w:sz w:val="17"/>
          <w:szCs w:val="17"/>
          <w:lang w:val="fr-FR"/>
        </w:rPr>
        <w:t>2</w:t>
      </w:r>
      <w:r w:rsidR="00434330" w:rsidRPr="000F49D3">
        <w:rPr>
          <w:rFonts w:ascii="Verdana" w:hAnsi="Verdana"/>
          <w:b/>
          <w:bCs/>
          <w:color w:val="222A35" w:themeColor="text2" w:themeShade="80"/>
          <w:sz w:val="17"/>
          <w:szCs w:val="17"/>
          <w:lang w:val="fr-FR"/>
        </w:rPr>
        <w:t>/ Politique de rémunération</w:t>
      </w:r>
    </w:p>
    <w:p w14:paraId="1A667261" w14:textId="673EADFB" w:rsidR="00434330" w:rsidRPr="000F49D3" w:rsidRDefault="00434330" w:rsidP="004F53FD">
      <w:pPr>
        <w:spacing w:line="247" w:lineRule="auto"/>
        <w:jc w:val="both"/>
        <w:rPr>
          <w:rFonts w:ascii="Verdana" w:hAnsi="Verdana"/>
          <w:b/>
          <w:bCs/>
          <w:color w:val="222A35" w:themeColor="text2" w:themeShade="80"/>
          <w:sz w:val="17"/>
          <w:szCs w:val="17"/>
          <w:lang w:val="fr-FR"/>
        </w:rPr>
      </w:pPr>
    </w:p>
    <w:p w14:paraId="0D9DCA5A" w14:textId="1BCF7DF9" w:rsidR="00434330" w:rsidRPr="000F49D3" w:rsidRDefault="005736A2" w:rsidP="004F53FD">
      <w:pPr>
        <w:spacing w:line="247" w:lineRule="auto"/>
        <w:jc w:val="both"/>
        <w:rPr>
          <w:rFonts w:ascii="Verdana" w:hAnsi="Verdana"/>
          <w:b/>
          <w:bCs/>
          <w:color w:val="222A35" w:themeColor="text2" w:themeShade="80"/>
          <w:sz w:val="17"/>
          <w:szCs w:val="17"/>
          <w:lang w:val="fr-FR"/>
        </w:rPr>
      </w:pPr>
      <w:r w:rsidRPr="000F49D3">
        <w:rPr>
          <w:rFonts w:ascii="Verdana" w:hAnsi="Verdana"/>
          <w:b/>
          <w:bCs/>
          <w:color w:val="222A35" w:themeColor="text2" w:themeShade="80"/>
          <w:sz w:val="17"/>
          <w:szCs w:val="17"/>
          <w:lang w:val="fr-FR"/>
        </w:rPr>
        <w:t>Le cabinet AM Courtage &amp; Patrimoine (AMCP)</w:t>
      </w:r>
      <w:r w:rsidR="00D8054F" w:rsidRPr="000F49D3">
        <w:rPr>
          <w:rFonts w:ascii="Verdana" w:hAnsi="Verdana"/>
          <w:b/>
          <w:bCs/>
          <w:color w:val="222A35" w:themeColor="text2" w:themeShade="80"/>
          <w:sz w:val="17"/>
          <w:szCs w:val="17"/>
          <w:lang w:val="fr-FR"/>
        </w:rPr>
        <w:t xml:space="preserve"> </w:t>
      </w:r>
      <w:r w:rsidR="00434330" w:rsidRPr="000F49D3">
        <w:rPr>
          <w:rFonts w:ascii="Verdana" w:hAnsi="Verdana"/>
          <w:b/>
          <w:bCs/>
          <w:color w:val="222A35" w:themeColor="text2" w:themeShade="80"/>
          <w:sz w:val="17"/>
          <w:szCs w:val="17"/>
          <w:lang w:val="fr-FR"/>
        </w:rPr>
        <w:t>s’assure que la structure de rémunération, fixe et variable, n’encourage pas la prise de risques excessive en matière de durabilité.</w:t>
      </w:r>
      <w:r w:rsidR="00BE0E35" w:rsidRPr="000F49D3">
        <w:rPr>
          <w:rFonts w:ascii="Verdana" w:hAnsi="Verdana"/>
          <w:b/>
          <w:bCs/>
          <w:color w:val="222A35" w:themeColor="text2" w:themeShade="80"/>
          <w:sz w:val="17"/>
          <w:szCs w:val="17"/>
          <w:lang w:val="fr-FR"/>
        </w:rPr>
        <w:t xml:space="preserve"> Cette structure de rémunération ne prend pas en compte la distribution de produits spécifiques. En conséquence et comme les autres contrats et supports d’investissement, les contrats et supports d’investissement faisant la promotion de caractéristiques ESG ou étant qualifié d’investissement durable, sont conseillés au client dès lors qu’ils répondent à ses objectifs et besoins.</w:t>
      </w:r>
    </w:p>
    <w:p w14:paraId="7C5FB5D2" w14:textId="7EE70D5E" w:rsidR="00434330" w:rsidRPr="000F49D3" w:rsidRDefault="00434330" w:rsidP="00434330">
      <w:pPr>
        <w:spacing w:line="247" w:lineRule="auto"/>
        <w:jc w:val="both"/>
        <w:rPr>
          <w:rFonts w:ascii="Verdana" w:hAnsi="Verdana"/>
          <w:b/>
          <w:bCs/>
          <w:color w:val="222A35" w:themeColor="text2" w:themeShade="80"/>
          <w:sz w:val="18"/>
          <w:szCs w:val="18"/>
          <w:lang w:val="fr-FR"/>
        </w:rPr>
      </w:pPr>
      <w:r w:rsidRPr="000F49D3">
        <w:rPr>
          <w:rFonts w:ascii="Verdana" w:hAnsi="Verdana"/>
          <w:b/>
          <w:bCs/>
          <w:color w:val="222A35" w:themeColor="text2" w:themeShade="80"/>
          <w:sz w:val="18"/>
          <w:szCs w:val="18"/>
          <w:lang w:val="fr-FR"/>
        </w:rPr>
        <w:t xml:space="preserve"> </w:t>
      </w:r>
    </w:p>
    <w:sectPr w:rsidR="00434330" w:rsidRPr="000F49D3" w:rsidSect="00073C99">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418" w:left="1418" w:header="107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8E08F" w14:textId="77777777" w:rsidR="00073C99" w:rsidRDefault="00073C99" w:rsidP="00323119">
      <w:r>
        <w:separator/>
      </w:r>
    </w:p>
  </w:endnote>
  <w:endnote w:type="continuationSeparator" w:id="0">
    <w:p w14:paraId="14EA5EAE" w14:textId="77777777" w:rsidR="00073C99" w:rsidRDefault="00073C99" w:rsidP="0032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FF6003" w:rsidRPr="00C33F7F" w:rsidRDefault="00FF6003" w:rsidP="00C33F7F">
    <w:pPr>
      <w:pStyle w:val="Pieddepage"/>
      <w:framePr w:wrap="around" w:vAnchor="text" w:hAnchor="margin" w:xAlign="center" w:y="1"/>
      <w:rPr>
        <w:rStyle w:val="Numrodepage"/>
        <w:sz w:val="16"/>
        <w:szCs w:val="16"/>
      </w:rPr>
    </w:pPr>
    <w:r w:rsidRPr="00C33F7F">
      <w:rPr>
        <w:rStyle w:val="Numrodepage"/>
        <w:sz w:val="16"/>
        <w:szCs w:val="16"/>
      </w:rPr>
      <w:fldChar w:fldCharType="begin"/>
    </w:r>
    <w:r w:rsidRPr="00C33F7F">
      <w:rPr>
        <w:rStyle w:val="Numrodepage"/>
        <w:sz w:val="16"/>
        <w:szCs w:val="16"/>
      </w:rPr>
      <w:instrText xml:space="preserve">PAGE  </w:instrText>
    </w:r>
    <w:r w:rsidRPr="00C33F7F">
      <w:rPr>
        <w:rStyle w:val="Numrodepage"/>
        <w:sz w:val="16"/>
        <w:szCs w:val="16"/>
      </w:rPr>
      <w:fldChar w:fldCharType="separate"/>
    </w:r>
    <w:r>
      <w:rPr>
        <w:rStyle w:val="Numrodepage"/>
        <w:noProof/>
        <w:sz w:val="16"/>
        <w:szCs w:val="16"/>
      </w:rPr>
      <w:t>2</w:t>
    </w:r>
    <w:r w:rsidRPr="00C33F7F">
      <w:rPr>
        <w:rStyle w:val="Numrodepage"/>
        <w:sz w:val="16"/>
        <w:szCs w:val="16"/>
      </w:rPr>
      <w:fldChar w:fldCharType="end"/>
    </w:r>
  </w:p>
  <w:p w14:paraId="34CE0A41" w14:textId="77777777" w:rsidR="00FF6003" w:rsidRDefault="00FF6003" w:rsidP="002055D3">
    <w:pPr>
      <w:pStyle w:val="Pieddepage"/>
      <w:ind w:left="284"/>
    </w:pPr>
    <w:r w:rsidRPr="00E54A38">
      <w:rPr>
        <w:noProof/>
        <w:lang w:val="fr-FR"/>
      </w:rPr>
      <w:drawing>
        <wp:inline distT="0" distB="0" distL="0" distR="0" wp14:anchorId="60050617" wp14:editId="07777777">
          <wp:extent cx="5153025" cy="1047750"/>
          <wp:effectExtent l="0" t="0" r="0" b="0"/>
          <wp:docPr id="5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3025" cy="10477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C5F6" w14:textId="0352A340" w:rsidR="00B066D4" w:rsidRPr="000F286D" w:rsidRDefault="00B066D4" w:rsidP="00B066D4">
    <w:pPr>
      <w:pStyle w:val="Pieddepage"/>
      <w:rPr>
        <w:rFonts w:asciiTheme="minorHAnsi" w:hAnsiTheme="minorHAnsi" w:cstheme="minorHAnsi"/>
        <w:i/>
        <w:color w:val="AE5838"/>
        <w:sz w:val="18"/>
        <w:szCs w:val="18"/>
      </w:rPr>
    </w:pPr>
    <w:r w:rsidRPr="000F286D">
      <w:rPr>
        <w:rFonts w:asciiTheme="minorHAnsi" w:hAnsiTheme="minorHAnsi" w:cstheme="minorHAnsi"/>
        <w:i/>
        <w:color w:val="AE5838"/>
        <w:sz w:val="18"/>
        <w:szCs w:val="18"/>
      </w:rPr>
      <w:t>CNCEF PATRIMOINE</w:t>
    </w:r>
    <w:r>
      <w:rPr>
        <w:rFonts w:asciiTheme="minorHAnsi" w:hAnsiTheme="minorHAnsi" w:cstheme="minorHAnsi"/>
        <w:i/>
        <w:color w:val="AE5838"/>
        <w:sz w:val="18"/>
        <w:szCs w:val="18"/>
      </w:rPr>
      <w:t xml:space="preserve"> </w:t>
    </w:r>
    <w:proofErr w:type="gramStart"/>
    <w:r>
      <w:rPr>
        <w:rFonts w:asciiTheme="minorHAnsi" w:hAnsiTheme="minorHAnsi" w:cstheme="minorHAnsi"/>
        <w:i/>
        <w:color w:val="AE5838"/>
        <w:sz w:val="18"/>
        <w:szCs w:val="18"/>
      </w:rPr>
      <w:t xml:space="preserve">- </w:t>
    </w:r>
    <w:r w:rsidRPr="000F286D">
      <w:rPr>
        <w:rFonts w:asciiTheme="minorHAnsi" w:hAnsiTheme="minorHAnsi" w:cstheme="minorHAnsi"/>
        <w:i/>
        <w:color w:val="AE5838"/>
        <w:sz w:val="18"/>
        <w:szCs w:val="18"/>
      </w:rPr>
      <w:t xml:space="preserve"> </w:t>
    </w:r>
    <w:proofErr w:type="spellStart"/>
    <w:r w:rsidRPr="000F286D">
      <w:rPr>
        <w:rFonts w:asciiTheme="minorHAnsi" w:hAnsiTheme="minorHAnsi" w:cstheme="minorHAnsi"/>
        <w:i/>
        <w:color w:val="AE5838"/>
        <w:sz w:val="18"/>
        <w:szCs w:val="18"/>
      </w:rPr>
      <w:t>février</w:t>
    </w:r>
    <w:proofErr w:type="spellEnd"/>
    <w:proofErr w:type="gramEnd"/>
    <w:r w:rsidRPr="000F286D">
      <w:rPr>
        <w:rFonts w:asciiTheme="minorHAnsi" w:hAnsiTheme="minorHAnsi" w:cstheme="minorHAnsi"/>
        <w:i/>
        <w:color w:val="AE5838"/>
        <w:sz w:val="18"/>
        <w:szCs w:val="18"/>
      </w:rPr>
      <w:t xml:space="preserve"> 2024</w:t>
    </w:r>
  </w:p>
  <w:p w14:paraId="7AEF890E" w14:textId="453EC5D2" w:rsidR="00FF6003" w:rsidRDefault="00FF6003" w:rsidP="00A642C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DECC" w14:textId="4AA35E57" w:rsidR="00A642CC" w:rsidRPr="00A642CC" w:rsidRDefault="00A642CC" w:rsidP="00A642CC">
    <w:pPr>
      <w:pStyle w:val="Pieddepage"/>
      <w:rPr>
        <w:rFonts w:asciiTheme="minorHAnsi" w:hAnsiTheme="minorHAnsi" w:cstheme="minorHAnsi"/>
        <w:sz w:val="20"/>
        <w:szCs w:val="20"/>
        <w:lang w:val="fr-FR"/>
      </w:rPr>
    </w:pPr>
    <w:r w:rsidRPr="00A642CC">
      <w:rPr>
        <w:rFonts w:asciiTheme="minorHAnsi" w:hAnsiTheme="minorHAnsi" w:cstheme="minorHAnsi"/>
        <w:sz w:val="20"/>
        <w:szCs w:val="20"/>
        <w:lang w:val="fr-FR"/>
      </w:rPr>
      <w:t xml:space="preserve">CNCEF PATRIMOINE – </w:t>
    </w:r>
    <w:r w:rsidR="00F80793">
      <w:rPr>
        <w:rFonts w:asciiTheme="minorHAnsi" w:hAnsiTheme="minorHAnsi" w:cstheme="minorHAnsi"/>
        <w:sz w:val="20"/>
        <w:szCs w:val="20"/>
        <w:lang w:val="fr-FR"/>
      </w:rPr>
      <w:t>Janvier 2024</w:t>
    </w:r>
  </w:p>
  <w:p w14:paraId="6B62239A" w14:textId="73B7B867" w:rsidR="00FF6003" w:rsidRDefault="00842BE0" w:rsidP="00D8054F">
    <w:pPr>
      <w:pStyle w:val="Pieddepage"/>
      <w:tabs>
        <w:tab w:val="clear" w:pos="9406"/>
      </w:tabs>
      <w:rPr>
        <w:sz w:val="18"/>
        <w:szCs w:val="18"/>
        <w:lang w:val="fr-FR"/>
      </w:rPr>
    </w:pPr>
    <w:r>
      <w:rPr>
        <w:sz w:val="18"/>
        <w:szCs w:val="18"/>
        <w:lang w:val="fr-FR"/>
      </w:rPr>
      <w:tab/>
    </w:r>
    <w:r>
      <w:rPr>
        <w:sz w:val="18"/>
        <w:szCs w:val="18"/>
        <w:lang w:val="fr-FR"/>
      </w:rPr>
      <w:tab/>
    </w:r>
    <w:r>
      <w:rPr>
        <w:sz w:val="18"/>
        <w:szCs w:val="18"/>
        <w:lang w:val="fr-FR"/>
      </w:rPr>
      <w:tab/>
    </w:r>
    <w:r>
      <w:rPr>
        <w:sz w:val="18"/>
        <w:szCs w:val="18"/>
        <w:lang w:val="fr-FR"/>
      </w:rPr>
      <w:tab/>
    </w:r>
    <w:r>
      <w:rPr>
        <w:sz w:val="18"/>
        <w:szCs w:val="18"/>
        <w:lang w:val="fr-FR"/>
      </w:rPr>
      <w:tab/>
    </w:r>
  </w:p>
  <w:p w14:paraId="7435630E" w14:textId="77777777" w:rsidR="00A642CC" w:rsidRDefault="00A642CC" w:rsidP="00D8054F">
    <w:pPr>
      <w:pStyle w:val="Pieddepage"/>
      <w:tabs>
        <w:tab w:val="clear" w:pos="94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01A10" w14:textId="77777777" w:rsidR="00073C99" w:rsidRDefault="00073C99" w:rsidP="00323119">
      <w:r>
        <w:separator/>
      </w:r>
    </w:p>
  </w:footnote>
  <w:footnote w:type="continuationSeparator" w:id="0">
    <w:p w14:paraId="08186DF0" w14:textId="77777777" w:rsidR="00073C99" w:rsidRDefault="00073C99" w:rsidP="00323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FF6003" w:rsidRDefault="00FF6003">
    <w:pPr>
      <w:pStyle w:val="En-tte"/>
    </w:pPr>
    <w:r w:rsidRPr="00E54A38">
      <w:rPr>
        <w:noProof/>
        <w:lang w:val="fr-FR"/>
      </w:rPr>
      <w:drawing>
        <wp:inline distT="0" distB="0" distL="0" distR="0" wp14:anchorId="0E330404" wp14:editId="07777777">
          <wp:extent cx="5143500" cy="466725"/>
          <wp:effectExtent l="0" t="0" r="0" b="0"/>
          <wp:docPr id="5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0" cy="4667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F3C5" w14:textId="2DE2C654" w:rsidR="00FF6003" w:rsidRPr="00323119" w:rsidRDefault="00FF6003" w:rsidP="007067FC">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D714" w14:textId="77777777" w:rsidR="00D8054F" w:rsidRPr="00D8054F" w:rsidRDefault="00D8054F" w:rsidP="00D8054F">
    <w:pPr>
      <w:pStyle w:val="En-tte"/>
      <w:jc w:val="center"/>
      <w:rPr>
        <w:rFonts w:ascii="Verdana" w:hAnsi="Verdana"/>
        <w:i/>
        <w:iCs/>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880"/>
    <w:multiLevelType w:val="hybridMultilevel"/>
    <w:tmpl w:val="9FBC9D86"/>
    <w:lvl w:ilvl="0" w:tplc="2C90170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C7520D"/>
    <w:multiLevelType w:val="hybridMultilevel"/>
    <w:tmpl w:val="C7B4F842"/>
    <w:lvl w:ilvl="0" w:tplc="1D8E2A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E1723B"/>
    <w:multiLevelType w:val="hybridMultilevel"/>
    <w:tmpl w:val="9B6E6438"/>
    <w:lvl w:ilvl="0" w:tplc="C7466D74">
      <w:start w:val="2"/>
      <w:numFmt w:val="bullet"/>
      <w:lvlText w:val="-"/>
      <w:lvlJc w:val="left"/>
      <w:pPr>
        <w:ind w:left="-1341" w:hanging="360"/>
      </w:pPr>
      <w:rPr>
        <w:rFonts w:ascii="Calibri" w:eastAsia="Times New Roman" w:hAnsi="Calibri" w:cs="Calibri" w:hint="default"/>
      </w:rPr>
    </w:lvl>
    <w:lvl w:ilvl="1" w:tplc="040C0003" w:tentative="1">
      <w:start w:val="1"/>
      <w:numFmt w:val="bullet"/>
      <w:lvlText w:val="o"/>
      <w:lvlJc w:val="left"/>
      <w:pPr>
        <w:ind w:left="-621" w:hanging="360"/>
      </w:pPr>
      <w:rPr>
        <w:rFonts w:ascii="Courier New" w:hAnsi="Courier New" w:cs="Courier New" w:hint="default"/>
      </w:rPr>
    </w:lvl>
    <w:lvl w:ilvl="2" w:tplc="040C0005" w:tentative="1">
      <w:start w:val="1"/>
      <w:numFmt w:val="bullet"/>
      <w:lvlText w:val=""/>
      <w:lvlJc w:val="left"/>
      <w:pPr>
        <w:ind w:left="99" w:hanging="360"/>
      </w:pPr>
      <w:rPr>
        <w:rFonts w:ascii="Wingdings" w:hAnsi="Wingdings" w:hint="default"/>
      </w:rPr>
    </w:lvl>
    <w:lvl w:ilvl="3" w:tplc="040C0001" w:tentative="1">
      <w:start w:val="1"/>
      <w:numFmt w:val="bullet"/>
      <w:lvlText w:val=""/>
      <w:lvlJc w:val="left"/>
      <w:pPr>
        <w:ind w:left="819" w:hanging="360"/>
      </w:pPr>
      <w:rPr>
        <w:rFonts w:ascii="Symbol" w:hAnsi="Symbol" w:hint="default"/>
      </w:rPr>
    </w:lvl>
    <w:lvl w:ilvl="4" w:tplc="040C0003" w:tentative="1">
      <w:start w:val="1"/>
      <w:numFmt w:val="bullet"/>
      <w:lvlText w:val="o"/>
      <w:lvlJc w:val="left"/>
      <w:pPr>
        <w:ind w:left="1539" w:hanging="360"/>
      </w:pPr>
      <w:rPr>
        <w:rFonts w:ascii="Courier New" w:hAnsi="Courier New" w:cs="Courier New" w:hint="default"/>
      </w:rPr>
    </w:lvl>
    <w:lvl w:ilvl="5" w:tplc="040C0005" w:tentative="1">
      <w:start w:val="1"/>
      <w:numFmt w:val="bullet"/>
      <w:lvlText w:val=""/>
      <w:lvlJc w:val="left"/>
      <w:pPr>
        <w:ind w:left="2259" w:hanging="360"/>
      </w:pPr>
      <w:rPr>
        <w:rFonts w:ascii="Wingdings" w:hAnsi="Wingdings" w:hint="default"/>
      </w:rPr>
    </w:lvl>
    <w:lvl w:ilvl="6" w:tplc="040C0001" w:tentative="1">
      <w:start w:val="1"/>
      <w:numFmt w:val="bullet"/>
      <w:lvlText w:val=""/>
      <w:lvlJc w:val="left"/>
      <w:pPr>
        <w:ind w:left="2979" w:hanging="360"/>
      </w:pPr>
      <w:rPr>
        <w:rFonts w:ascii="Symbol" w:hAnsi="Symbol" w:hint="default"/>
      </w:rPr>
    </w:lvl>
    <w:lvl w:ilvl="7" w:tplc="040C0003" w:tentative="1">
      <w:start w:val="1"/>
      <w:numFmt w:val="bullet"/>
      <w:lvlText w:val="o"/>
      <w:lvlJc w:val="left"/>
      <w:pPr>
        <w:ind w:left="3699" w:hanging="360"/>
      </w:pPr>
      <w:rPr>
        <w:rFonts w:ascii="Courier New" w:hAnsi="Courier New" w:cs="Courier New" w:hint="default"/>
      </w:rPr>
    </w:lvl>
    <w:lvl w:ilvl="8" w:tplc="040C0005" w:tentative="1">
      <w:start w:val="1"/>
      <w:numFmt w:val="bullet"/>
      <w:lvlText w:val=""/>
      <w:lvlJc w:val="left"/>
      <w:pPr>
        <w:ind w:left="4419" w:hanging="360"/>
      </w:pPr>
      <w:rPr>
        <w:rFonts w:ascii="Wingdings" w:hAnsi="Wingdings" w:hint="default"/>
      </w:rPr>
    </w:lvl>
  </w:abstractNum>
  <w:abstractNum w:abstractNumId="3" w15:restartNumberingAfterBreak="0">
    <w:nsid w:val="1EED1DFB"/>
    <w:multiLevelType w:val="hybridMultilevel"/>
    <w:tmpl w:val="7D9C70A4"/>
    <w:lvl w:ilvl="0" w:tplc="B7B29A22">
      <w:start w:val="1"/>
      <w:numFmt w:val="bullet"/>
      <w:lvlText w:val="-"/>
      <w:lvlJc w:val="left"/>
      <w:pPr>
        <w:ind w:left="720" w:hanging="360"/>
      </w:pPr>
      <w:rPr>
        <w:rFonts w:ascii="Book Antiqua" w:eastAsia="Calibri" w:hAnsi="Book Antiqua"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FE2903"/>
    <w:multiLevelType w:val="hybridMultilevel"/>
    <w:tmpl w:val="C0563D66"/>
    <w:lvl w:ilvl="0" w:tplc="2FEE209E">
      <w:start w:val="4"/>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AD5200"/>
    <w:multiLevelType w:val="hybridMultilevel"/>
    <w:tmpl w:val="17207A7E"/>
    <w:lvl w:ilvl="0" w:tplc="F75046F8">
      <w:start w:val="5"/>
      <w:numFmt w:val="bullet"/>
      <w:lvlText w:val="-"/>
      <w:lvlJc w:val="left"/>
      <w:pPr>
        <w:tabs>
          <w:tab w:val="num" w:pos="1065"/>
        </w:tabs>
        <w:ind w:left="1065" w:hanging="705"/>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C002A4"/>
    <w:multiLevelType w:val="hybridMultilevel"/>
    <w:tmpl w:val="E8DE1B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FB170C"/>
    <w:multiLevelType w:val="hybridMultilevel"/>
    <w:tmpl w:val="75304734"/>
    <w:lvl w:ilvl="0" w:tplc="D0FABC7A">
      <w:start w:val="1"/>
      <w:numFmt w:val="bullet"/>
      <w:pStyle w:val="Pucesoranges"/>
      <w:lvlText w:val=""/>
      <w:lvlJc w:val="left"/>
      <w:pPr>
        <w:tabs>
          <w:tab w:val="num" w:pos="720"/>
        </w:tabs>
        <w:ind w:left="720" w:hanging="360"/>
      </w:pPr>
      <w:rPr>
        <w:rFonts w:ascii="Symbol" w:hAnsi="Symbol" w:hint="default"/>
        <w:b w:val="0"/>
        <w:i w:val="0"/>
        <w:color w:val="FF6600"/>
        <w:sz w:val="20"/>
        <w:szCs w:val="20"/>
      </w:rPr>
    </w:lvl>
    <w:lvl w:ilvl="1" w:tplc="8AF0A562">
      <w:start w:val="1"/>
      <w:numFmt w:val="bullet"/>
      <w:lvlText w:val=""/>
      <w:lvlJc w:val="left"/>
      <w:pPr>
        <w:tabs>
          <w:tab w:val="num" w:pos="1440"/>
        </w:tabs>
        <w:ind w:left="1440" w:hanging="360"/>
      </w:pPr>
      <w:rPr>
        <w:rFonts w:ascii="Symbol" w:hAnsi="Symbol" w:hint="default"/>
        <w:b w:val="0"/>
        <w:i w:val="0"/>
        <w:color w:val="FF6600"/>
        <w:sz w:val="20"/>
        <w:szCs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9F24DD"/>
    <w:multiLevelType w:val="hybridMultilevel"/>
    <w:tmpl w:val="B1E2B1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067845"/>
    <w:multiLevelType w:val="hybridMultilevel"/>
    <w:tmpl w:val="CC50C7F0"/>
    <w:lvl w:ilvl="0" w:tplc="F0B2623A">
      <w:start w:val="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9D6E94"/>
    <w:multiLevelType w:val="hybridMultilevel"/>
    <w:tmpl w:val="FB8EFF4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CF85447"/>
    <w:multiLevelType w:val="hybridMultilevel"/>
    <w:tmpl w:val="00C607C8"/>
    <w:lvl w:ilvl="0" w:tplc="040C000D">
      <w:start w:val="1"/>
      <w:numFmt w:val="bullet"/>
      <w:lvlText w:val=""/>
      <w:lvlJc w:val="left"/>
      <w:pPr>
        <w:ind w:left="-981" w:hanging="360"/>
      </w:pPr>
      <w:rPr>
        <w:rFonts w:ascii="Wingdings" w:hAnsi="Wingdings" w:hint="default"/>
      </w:rPr>
    </w:lvl>
    <w:lvl w:ilvl="1" w:tplc="040C0003" w:tentative="1">
      <w:start w:val="1"/>
      <w:numFmt w:val="bullet"/>
      <w:lvlText w:val="o"/>
      <w:lvlJc w:val="left"/>
      <w:pPr>
        <w:ind w:left="-261" w:hanging="360"/>
      </w:pPr>
      <w:rPr>
        <w:rFonts w:ascii="Courier New" w:hAnsi="Courier New" w:cs="Courier New" w:hint="default"/>
      </w:rPr>
    </w:lvl>
    <w:lvl w:ilvl="2" w:tplc="040C0005" w:tentative="1">
      <w:start w:val="1"/>
      <w:numFmt w:val="bullet"/>
      <w:lvlText w:val=""/>
      <w:lvlJc w:val="left"/>
      <w:pPr>
        <w:ind w:left="459" w:hanging="360"/>
      </w:pPr>
      <w:rPr>
        <w:rFonts w:ascii="Wingdings" w:hAnsi="Wingdings" w:hint="default"/>
      </w:rPr>
    </w:lvl>
    <w:lvl w:ilvl="3" w:tplc="040C0001" w:tentative="1">
      <w:start w:val="1"/>
      <w:numFmt w:val="bullet"/>
      <w:lvlText w:val=""/>
      <w:lvlJc w:val="left"/>
      <w:pPr>
        <w:ind w:left="1179" w:hanging="360"/>
      </w:pPr>
      <w:rPr>
        <w:rFonts w:ascii="Symbol" w:hAnsi="Symbol" w:hint="default"/>
      </w:rPr>
    </w:lvl>
    <w:lvl w:ilvl="4" w:tplc="040C0003" w:tentative="1">
      <w:start w:val="1"/>
      <w:numFmt w:val="bullet"/>
      <w:lvlText w:val="o"/>
      <w:lvlJc w:val="left"/>
      <w:pPr>
        <w:ind w:left="1899" w:hanging="360"/>
      </w:pPr>
      <w:rPr>
        <w:rFonts w:ascii="Courier New" w:hAnsi="Courier New" w:cs="Courier New" w:hint="default"/>
      </w:rPr>
    </w:lvl>
    <w:lvl w:ilvl="5" w:tplc="040C0005" w:tentative="1">
      <w:start w:val="1"/>
      <w:numFmt w:val="bullet"/>
      <w:lvlText w:val=""/>
      <w:lvlJc w:val="left"/>
      <w:pPr>
        <w:ind w:left="2619" w:hanging="360"/>
      </w:pPr>
      <w:rPr>
        <w:rFonts w:ascii="Wingdings" w:hAnsi="Wingdings" w:hint="default"/>
      </w:rPr>
    </w:lvl>
    <w:lvl w:ilvl="6" w:tplc="040C0001" w:tentative="1">
      <w:start w:val="1"/>
      <w:numFmt w:val="bullet"/>
      <w:lvlText w:val=""/>
      <w:lvlJc w:val="left"/>
      <w:pPr>
        <w:ind w:left="3339" w:hanging="360"/>
      </w:pPr>
      <w:rPr>
        <w:rFonts w:ascii="Symbol" w:hAnsi="Symbol" w:hint="default"/>
      </w:rPr>
    </w:lvl>
    <w:lvl w:ilvl="7" w:tplc="040C0003" w:tentative="1">
      <w:start w:val="1"/>
      <w:numFmt w:val="bullet"/>
      <w:lvlText w:val="o"/>
      <w:lvlJc w:val="left"/>
      <w:pPr>
        <w:ind w:left="4059" w:hanging="360"/>
      </w:pPr>
      <w:rPr>
        <w:rFonts w:ascii="Courier New" w:hAnsi="Courier New" w:cs="Courier New" w:hint="default"/>
      </w:rPr>
    </w:lvl>
    <w:lvl w:ilvl="8" w:tplc="040C0005" w:tentative="1">
      <w:start w:val="1"/>
      <w:numFmt w:val="bullet"/>
      <w:lvlText w:val=""/>
      <w:lvlJc w:val="left"/>
      <w:pPr>
        <w:ind w:left="4779" w:hanging="360"/>
      </w:pPr>
      <w:rPr>
        <w:rFonts w:ascii="Wingdings" w:hAnsi="Wingdings" w:hint="default"/>
      </w:rPr>
    </w:lvl>
  </w:abstractNum>
  <w:abstractNum w:abstractNumId="12" w15:restartNumberingAfterBreak="0">
    <w:nsid w:val="6CEA2ED4"/>
    <w:multiLevelType w:val="hybridMultilevel"/>
    <w:tmpl w:val="AB264D5A"/>
    <w:lvl w:ilvl="0" w:tplc="0BA6395A">
      <w:start w:val="92"/>
      <w:numFmt w:val="bullet"/>
      <w:lvlText w:val="-"/>
      <w:lvlJc w:val="left"/>
      <w:pPr>
        <w:ind w:left="643" w:hanging="360"/>
      </w:pPr>
      <w:rPr>
        <w:rFonts w:ascii="Book Antiqua" w:eastAsia="Calibri" w:hAnsi="Book Antiqua" w:cs="Calibri"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3" w15:restartNumberingAfterBreak="0">
    <w:nsid w:val="77B11052"/>
    <w:multiLevelType w:val="hybridMultilevel"/>
    <w:tmpl w:val="11E4C114"/>
    <w:lvl w:ilvl="0" w:tplc="A41C67A2">
      <w:start w:val="1"/>
      <w:numFmt w:val="bullet"/>
      <w:lvlText w:val="-"/>
      <w:lvlJc w:val="left"/>
      <w:pPr>
        <w:ind w:left="720" w:hanging="360"/>
      </w:pPr>
      <w:rPr>
        <w:rFonts w:ascii="Trebuchet MS" w:eastAsia="MS Mincho"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64248128">
    <w:abstractNumId w:val="5"/>
  </w:num>
  <w:num w:numId="2" w16cid:durableId="1456025002">
    <w:abstractNumId w:val="12"/>
  </w:num>
  <w:num w:numId="3" w16cid:durableId="1088427048">
    <w:abstractNumId w:val="5"/>
  </w:num>
  <w:num w:numId="4" w16cid:durableId="1385718585">
    <w:abstractNumId w:val="3"/>
  </w:num>
  <w:num w:numId="5" w16cid:durableId="1272663269">
    <w:abstractNumId w:val="11"/>
  </w:num>
  <w:num w:numId="6" w16cid:durableId="626857928">
    <w:abstractNumId w:val="2"/>
  </w:num>
  <w:num w:numId="7" w16cid:durableId="876549092">
    <w:abstractNumId w:val="6"/>
  </w:num>
  <w:num w:numId="8" w16cid:durableId="2034109610">
    <w:abstractNumId w:val="8"/>
  </w:num>
  <w:num w:numId="9" w16cid:durableId="167452241">
    <w:abstractNumId w:val="7"/>
  </w:num>
  <w:num w:numId="10" w16cid:durableId="983582945">
    <w:abstractNumId w:val="9"/>
  </w:num>
  <w:num w:numId="11" w16cid:durableId="129397338">
    <w:abstractNumId w:val="10"/>
  </w:num>
  <w:num w:numId="12" w16cid:durableId="1350374692">
    <w:abstractNumId w:val="0"/>
  </w:num>
  <w:num w:numId="13" w16cid:durableId="1050374295">
    <w:abstractNumId w:val="4"/>
  </w:num>
  <w:num w:numId="14" w16cid:durableId="2055234018">
    <w:abstractNumId w:val="13"/>
  </w:num>
  <w:num w:numId="15" w16cid:durableId="456798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119"/>
    <w:rsid w:val="000176B5"/>
    <w:rsid w:val="00026F1B"/>
    <w:rsid w:val="000419E2"/>
    <w:rsid w:val="00044279"/>
    <w:rsid w:val="00055A10"/>
    <w:rsid w:val="000625D8"/>
    <w:rsid w:val="000661C2"/>
    <w:rsid w:val="00073C99"/>
    <w:rsid w:val="000A2C06"/>
    <w:rsid w:val="000C7F02"/>
    <w:rsid w:val="000D37DF"/>
    <w:rsid w:val="000D5441"/>
    <w:rsid w:val="000E279B"/>
    <w:rsid w:val="000F49D3"/>
    <w:rsid w:val="00102F26"/>
    <w:rsid w:val="00103759"/>
    <w:rsid w:val="001239A4"/>
    <w:rsid w:val="0012519B"/>
    <w:rsid w:val="00134DE9"/>
    <w:rsid w:val="00157936"/>
    <w:rsid w:val="00174F32"/>
    <w:rsid w:val="00177C84"/>
    <w:rsid w:val="00192490"/>
    <w:rsid w:val="001A4902"/>
    <w:rsid w:val="001B1330"/>
    <w:rsid w:val="001C1826"/>
    <w:rsid w:val="001C5419"/>
    <w:rsid w:val="001C6B18"/>
    <w:rsid w:val="001D1466"/>
    <w:rsid w:val="001F3766"/>
    <w:rsid w:val="0020022D"/>
    <w:rsid w:val="002055D3"/>
    <w:rsid w:val="00207D8E"/>
    <w:rsid w:val="002159CD"/>
    <w:rsid w:val="0022127F"/>
    <w:rsid w:val="00230941"/>
    <w:rsid w:val="0023198E"/>
    <w:rsid w:val="002345C9"/>
    <w:rsid w:val="00246480"/>
    <w:rsid w:val="00252F91"/>
    <w:rsid w:val="00257ABF"/>
    <w:rsid w:val="00263CB5"/>
    <w:rsid w:val="002705BC"/>
    <w:rsid w:val="00293BBC"/>
    <w:rsid w:val="002A6793"/>
    <w:rsid w:val="002D2ADD"/>
    <w:rsid w:val="002E34EC"/>
    <w:rsid w:val="0030088F"/>
    <w:rsid w:val="003126A5"/>
    <w:rsid w:val="0032226E"/>
    <w:rsid w:val="00322D8B"/>
    <w:rsid w:val="00323119"/>
    <w:rsid w:val="00324CD1"/>
    <w:rsid w:val="00332214"/>
    <w:rsid w:val="00334941"/>
    <w:rsid w:val="00342D49"/>
    <w:rsid w:val="0034509B"/>
    <w:rsid w:val="00365F8E"/>
    <w:rsid w:val="00374AAC"/>
    <w:rsid w:val="003872CA"/>
    <w:rsid w:val="003902ED"/>
    <w:rsid w:val="003B610E"/>
    <w:rsid w:val="003C0019"/>
    <w:rsid w:val="003C7F9F"/>
    <w:rsid w:val="003D5ACF"/>
    <w:rsid w:val="003D6896"/>
    <w:rsid w:val="0040787E"/>
    <w:rsid w:val="00433B10"/>
    <w:rsid w:val="00434330"/>
    <w:rsid w:val="00441662"/>
    <w:rsid w:val="00446C21"/>
    <w:rsid w:val="00476744"/>
    <w:rsid w:val="004812E7"/>
    <w:rsid w:val="004905D5"/>
    <w:rsid w:val="004B3A24"/>
    <w:rsid w:val="004C6C7A"/>
    <w:rsid w:val="004D047D"/>
    <w:rsid w:val="004D6D3F"/>
    <w:rsid w:val="004F4805"/>
    <w:rsid w:val="004F51D7"/>
    <w:rsid w:val="004F53FD"/>
    <w:rsid w:val="00502AE0"/>
    <w:rsid w:val="0051033D"/>
    <w:rsid w:val="00514644"/>
    <w:rsid w:val="0053747F"/>
    <w:rsid w:val="00537ADE"/>
    <w:rsid w:val="00570B0D"/>
    <w:rsid w:val="00571EC5"/>
    <w:rsid w:val="005736A2"/>
    <w:rsid w:val="00580E53"/>
    <w:rsid w:val="005857DD"/>
    <w:rsid w:val="0058618E"/>
    <w:rsid w:val="00587CC6"/>
    <w:rsid w:val="005B6C02"/>
    <w:rsid w:val="005D55A4"/>
    <w:rsid w:val="005F3E51"/>
    <w:rsid w:val="00605A53"/>
    <w:rsid w:val="00606333"/>
    <w:rsid w:val="00613BB7"/>
    <w:rsid w:val="0061761F"/>
    <w:rsid w:val="00617BDB"/>
    <w:rsid w:val="006209B5"/>
    <w:rsid w:val="00667192"/>
    <w:rsid w:val="006A4BA0"/>
    <w:rsid w:val="006B4CDC"/>
    <w:rsid w:val="006F0C5A"/>
    <w:rsid w:val="006F7EE2"/>
    <w:rsid w:val="007067FC"/>
    <w:rsid w:val="00707FFA"/>
    <w:rsid w:val="00711B28"/>
    <w:rsid w:val="00715D12"/>
    <w:rsid w:val="0072505B"/>
    <w:rsid w:val="00750500"/>
    <w:rsid w:val="00755407"/>
    <w:rsid w:val="00773C03"/>
    <w:rsid w:val="00782569"/>
    <w:rsid w:val="00786D59"/>
    <w:rsid w:val="007969AA"/>
    <w:rsid w:val="007A0C31"/>
    <w:rsid w:val="007A4910"/>
    <w:rsid w:val="007C756E"/>
    <w:rsid w:val="007D62B5"/>
    <w:rsid w:val="007D7664"/>
    <w:rsid w:val="007F4375"/>
    <w:rsid w:val="008012BC"/>
    <w:rsid w:val="00803255"/>
    <w:rsid w:val="008060B9"/>
    <w:rsid w:val="0080665A"/>
    <w:rsid w:val="008134D5"/>
    <w:rsid w:val="00825331"/>
    <w:rsid w:val="008400DD"/>
    <w:rsid w:val="00841EE0"/>
    <w:rsid w:val="00842BE0"/>
    <w:rsid w:val="008623F7"/>
    <w:rsid w:val="00873C02"/>
    <w:rsid w:val="008A0E25"/>
    <w:rsid w:val="00904C66"/>
    <w:rsid w:val="00915AEC"/>
    <w:rsid w:val="009413C8"/>
    <w:rsid w:val="0096087B"/>
    <w:rsid w:val="009715D0"/>
    <w:rsid w:val="00974446"/>
    <w:rsid w:val="00987D39"/>
    <w:rsid w:val="00990106"/>
    <w:rsid w:val="009A27CE"/>
    <w:rsid w:val="009A3DBB"/>
    <w:rsid w:val="009A5F68"/>
    <w:rsid w:val="009B6E72"/>
    <w:rsid w:val="009C1E9D"/>
    <w:rsid w:val="009C2EC7"/>
    <w:rsid w:val="009E4A12"/>
    <w:rsid w:val="00A23C44"/>
    <w:rsid w:val="00A247E7"/>
    <w:rsid w:val="00A25B83"/>
    <w:rsid w:val="00A642CC"/>
    <w:rsid w:val="00A66C1A"/>
    <w:rsid w:val="00A74321"/>
    <w:rsid w:val="00A771E3"/>
    <w:rsid w:val="00A80085"/>
    <w:rsid w:val="00A912C8"/>
    <w:rsid w:val="00AA2645"/>
    <w:rsid w:val="00AB4DA9"/>
    <w:rsid w:val="00AC04F6"/>
    <w:rsid w:val="00AC5EBA"/>
    <w:rsid w:val="00AF5A2A"/>
    <w:rsid w:val="00AF6E99"/>
    <w:rsid w:val="00B01AAD"/>
    <w:rsid w:val="00B066D4"/>
    <w:rsid w:val="00B104CE"/>
    <w:rsid w:val="00B3543F"/>
    <w:rsid w:val="00B41706"/>
    <w:rsid w:val="00B435EF"/>
    <w:rsid w:val="00B50A6F"/>
    <w:rsid w:val="00B53372"/>
    <w:rsid w:val="00B77DDC"/>
    <w:rsid w:val="00B86F12"/>
    <w:rsid w:val="00BA5B4C"/>
    <w:rsid w:val="00BB0D61"/>
    <w:rsid w:val="00BC6DC8"/>
    <w:rsid w:val="00BD52B1"/>
    <w:rsid w:val="00BD722C"/>
    <w:rsid w:val="00BE0E35"/>
    <w:rsid w:val="00BE5C9F"/>
    <w:rsid w:val="00C10784"/>
    <w:rsid w:val="00C2786D"/>
    <w:rsid w:val="00C33F7F"/>
    <w:rsid w:val="00C3440F"/>
    <w:rsid w:val="00C40E5B"/>
    <w:rsid w:val="00C6520F"/>
    <w:rsid w:val="00C809D9"/>
    <w:rsid w:val="00C863BD"/>
    <w:rsid w:val="00C920A9"/>
    <w:rsid w:val="00CB2CDE"/>
    <w:rsid w:val="00CE3BEE"/>
    <w:rsid w:val="00CE3F1D"/>
    <w:rsid w:val="00CF0BA4"/>
    <w:rsid w:val="00D167A9"/>
    <w:rsid w:val="00D4447A"/>
    <w:rsid w:val="00D64559"/>
    <w:rsid w:val="00D8054F"/>
    <w:rsid w:val="00D805EB"/>
    <w:rsid w:val="00D8472A"/>
    <w:rsid w:val="00D863B5"/>
    <w:rsid w:val="00D93E35"/>
    <w:rsid w:val="00D97E8B"/>
    <w:rsid w:val="00DA0939"/>
    <w:rsid w:val="00DA18BA"/>
    <w:rsid w:val="00DB652E"/>
    <w:rsid w:val="00DD02FC"/>
    <w:rsid w:val="00DD2D26"/>
    <w:rsid w:val="00DD700A"/>
    <w:rsid w:val="00DE1891"/>
    <w:rsid w:val="00DE3167"/>
    <w:rsid w:val="00E54A38"/>
    <w:rsid w:val="00E55871"/>
    <w:rsid w:val="00E55E69"/>
    <w:rsid w:val="00E60819"/>
    <w:rsid w:val="00E75694"/>
    <w:rsid w:val="00E756BF"/>
    <w:rsid w:val="00E901B4"/>
    <w:rsid w:val="00EA4A2F"/>
    <w:rsid w:val="00EA4A48"/>
    <w:rsid w:val="00EC1B23"/>
    <w:rsid w:val="00ED6542"/>
    <w:rsid w:val="00EE030E"/>
    <w:rsid w:val="00F00687"/>
    <w:rsid w:val="00F00FFD"/>
    <w:rsid w:val="00F219C4"/>
    <w:rsid w:val="00F31C25"/>
    <w:rsid w:val="00F35675"/>
    <w:rsid w:val="00F66DF5"/>
    <w:rsid w:val="00F70FD4"/>
    <w:rsid w:val="00F80793"/>
    <w:rsid w:val="00F82F2F"/>
    <w:rsid w:val="00F84E4A"/>
    <w:rsid w:val="00F87A1F"/>
    <w:rsid w:val="00F917D2"/>
    <w:rsid w:val="00FA4B49"/>
    <w:rsid w:val="00FB2B56"/>
    <w:rsid w:val="00FB5069"/>
    <w:rsid w:val="00FC3246"/>
    <w:rsid w:val="00FD31E8"/>
    <w:rsid w:val="00FD7774"/>
    <w:rsid w:val="00FE1336"/>
    <w:rsid w:val="00FE209E"/>
    <w:rsid w:val="00FF6003"/>
    <w:rsid w:val="00FF71C0"/>
    <w:rsid w:val="5853794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48AD1D"/>
  <w14:defaultImageDpi w14:val="300"/>
  <w15:chartTrackingRefBased/>
  <w15:docId w15:val="{B1706658-D661-4446-B127-A2B6CF9F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B56"/>
    <w:rPr>
      <w:sz w:val="24"/>
      <w:szCs w:val="24"/>
      <w:lang w:val="en-US"/>
    </w:rPr>
  </w:style>
  <w:style w:type="paragraph" w:styleId="Titre1">
    <w:name w:val="heading 1"/>
    <w:basedOn w:val="Normal"/>
    <w:next w:val="Normal"/>
    <w:link w:val="Titre1Car"/>
    <w:qFormat/>
    <w:rsid w:val="00AC04F6"/>
    <w:pPr>
      <w:keepNext/>
      <w:keepLines/>
      <w:shd w:val="solid" w:color="FFFF00" w:fill="auto"/>
      <w:spacing w:before="80" w:after="80"/>
      <w:outlineLvl w:val="0"/>
    </w:pPr>
    <w:rPr>
      <w:rFonts w:ascii="Times New Roman" w:eastAsia="Times New Roman" w:hAnsi="Times New Roman"/>
      <w:b/>
      <w:bCs/>
      <w:caps/>
      <w:kern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3119"/>
    <w:pPr>
      <w:tabs>
        <w:tab w:val="center" w:pos="4703"/>
        <w:tab w:val="right" w:pos="9406"/>
      </w:tabs>
    </w:pPr>
  </w:style>
  <w:style w:type="character" w:customStyle="1" w:styleId="En-tteCar">
    <w:name w:val="En-tête Car"/>
    <w:basedOn w:val="Policepardfaut"/>
    <w:link w:val="En-tte"/>
    <w:uiPriority w:val="99"/>
    <w:rsid w:val="00323119"/>
  </w:style>
  <w:style w:type="paragraph" w:styleId="Pieddepage">
    <w:name w:val="footer"/>
    <w:basedOn w:val="Normal"/>
    <w:link w:val="PieddepageCar"/>
    <w:uiPriority w:val="99"/>
    <w:unhideWhenUsed/>
    <w:rsid w:val="00323119"/>
    <w:pPr>
      <w:tabs>
        <w:tab w:val="center" w:pos="4703"/>
        <w:tab w:val="right" w:pos="9406"/>
      </w:tabs>
    </w:pPr>
  </w:style>
  <w:style w:type="character" w:customStyle="1" w:styleId="PieddepageCar">
    <w:name w:val="Pied de page Car"/>
    <w:basedOn w:val="Policepardfaut"/>
    <w:link w:val="Pieddepage"/>
    <w:uiPriority w:val="99"/>
    <w:rsid w:val="00323119"/>
  </w:style>
  <w:style w:type="table" w:styleId="Trameclaire-Accent1">
    <w:name w:val="Light Shading Accent 1"/>
    <w:basedOn w:val="TableauNormal"/>
    <w:uiPriority w:val="60"/>
    <w:rsid w:val="00323119"/>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link w:val="TextedebullesCar"/>
    <w:uiPriority w:val="99"/>
    <w:semiHidden/>
    <w:unhideWhenUsed/>
    <w:rsid w:val="00323119"/>
    <w:rPr>
      <w:rFonts w:ascii="Lucida Grande" w:hAnsi="Lucida Grande"/>
      <w:sz w:val="18"/>
      <w:szCs w:val="18"/>
    </w:rPr>
  </w:style>
  <w:style w:type="character" w:customStyle="1" w:styleId="TextedebullesCar">
    <w:name w:val="Texte de bulles Car"/>
    <w:link w:val="Textedebulles"/>
    <w:uiPriority w:val="99"/>
    <w:semiHidden/>
    <w:rsid w:val="00323119"/>
    <w:rPr>
      <w:rFonts w:ascii="Lucida Grande" w:hAnsi="Lucida Grande"/>
      <w:sz w:val="18"/>
      <w:szCs w:val="18"/>
    </w:rPr>
  </w:style>
  <w:style w:type="character" w:styleId="Numrodepage">
    <w:name w:val="page number"/>
    <w:basedOn w:val="Policepardfaut"/>
    <w:uiPriority w:val="99"/>
    <w:semiHidden/>
    <w:unhideWhenUsed/>
    <w:rsid w:val="00ED6542"/>
  </w:style>
  <w:style w:type="character" w:styleId="Lienhypertexte">
    <w:name w:val="Hyperlink"/>
    <w:unhideWhenUsed/>
    <w:rsid w:val="00E54A38"/>
    <w:rPr>
      <w:color w:val="0000FF"/>
      <w:u w:val="single"/>
    </w:rPr>
  </w:style>
  <w:style w:type="paragraph" w:styleId="NormalWeb">
    <w:name w:val="Normal (Web)"/>
    <w:basedOn w:val="Normal"/>
    <w:uiPriority w:val="99"/>
    <w:unhideWhenUsed/>
    <w:rsid w:val="00E54A38"/>
    <w:pPr>
      <w:spacing w:before="100" w:beforeAutospacing="1" w:after="100" w:afterAutospacing="1"/>
    </w:pPr>
    <w:rPr>
      <w:rFonts w:ascii="Times New Roman" w:eastAsia="Times New Roman" w:hAnsi="Times New Roman"/>
      <w:lang w:val="fr-FR"/>
    </w:rPr>
  </w:style>
  <w:style w:type="paragraph" w:styleId="Retraitcorpsdetexte">
    <w:name w:val="Body Text Indent"/>
    <w:basedOn w:val="Normal"/>
    <w:link w:val="RetraitcorpsdetexteCar"/>
    <w:rsid w:val="007D62B5"/>
    <w:pPr>
      <w:spacing w:after="120" w:line="276" w:lineRule="auto"/>
      <w:ind w:left="283"/>
    </w:pPr>
    <w:rPr>
      <w:rFonts w:ascii="Calibri" w:eastAsia="Calibri" w:hAnsi="Calibri"/>
      <w:sz w:val="22"/>
      <w:szCs w:val="22"/>
      <w:lang w:val="x-none" w:eastAsia="x-none"/>
    </w:rPr>
  </w:style>
  <w:style w:type="character" w:customStyle="1" w:styleId="RetraitcorpsdetexteCar">
    <w:name w:val="Retrait corps de texte Car"/>
    <w:link w:val="Retraitcorpsdetexte"/>
    <w:rsid w:val="007D62B5"/>
    <w:rPr>
      <w:rFonts w:ascii="Calibri" w:eastAsia="Calibri" w:hAnsi="Calibri"/>
      <w:sz w:val="22"/>
      <w:szCs w:val="22"/>
      <w:lang w:val="x-none" w:eastAsia="x-none"/>
    </w:rPr>
  </w:style>
  <w:style w:type="paragraph" w:customStyle="1" w:styleId="Default">
    <w:name w:val="Default"/>
    <w:rsid w:val="00B104CE"/>
    <w:pPr>
      <w:autoSpaceDE w:val="0"/>
      <w:autoSpaceDN w:val="0"/>
      <w:adjustRightInd w:val="0"/>
    </w:pPr>
    <w:rPr>
      <w:rFonts w:ascii="Times New Roman" w:hAnsi="Times New Roman"/>
      <w:color w:val="000000"/>
      <w:sz w:val="24"/>
      <w:szCs w:val="24"/>
    </w:rPr>
  </w:style>
  <w:style w:type="character" w:styleId="Mentionnonrsolue">
    <w:name w:val="Unresolved Mention"/>
    <w:uiPriority w:val="99"/>
    <w:semiHidden/>
    <w:unhideWhenUsed/>
    <w:rsid w:val="00AA2645"/>
    <w:rPr>
      <w:color w:val="808080"/>
      <w:shd w:val="clear" w:color="auto" w:fill="E6E6E6"/>
    </w:rPr>
  </w:style>
  <w:style w:type="table" w:styleId="Grilledutableau">
    <w:name w:val="Table Grid"/>
    <w:basedOn w:val="TableauNormal"/>
    <w:uiPriority w:val="59"/>
    <w:rsid w:val="00C34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AC04F6"/>
    <w:rPr>
      <w:rFonts w:ascii="Times New Roman" w:eastAsia="Times New Roman" w:hAnsi="Times New Roman"/>
      <w:b/>
      <w:bCs/>
      <w:caps/>
      <w:kern w:val="28"/>
      <w:sz w:val="24"/>
      <w:szCs w:val="24"/>
      <w:shd w:val="solid" w:color="FFFF00" w:fill="auto"/>
    </w:rPr>
  </w:style>
  <w:style w:type="paragraph" w:styleId="Paragraphedeliste">
    <w:name w:val="List Paragraph"/>
    <w:basedOn w:val="Normal"/>
    <w:uiPriority w:val="34"/>
    <w:qFormat/>
    <w:rsid w:val="00A912C8"/>
    <w:pPr>
      <w:spacing w:after="200" w:line="276" w:lineRule="auto"/>
      <w:ind w:left="720"/>
      <w:contextualSpacing/>
    </w:pPr>
    <w:rPr>
      <w:rFonts w:ascii="Calibri" w:eastAsia="Calibri" w:hAnsi="Calibri" w:cs="Calibri"/>
      <w:sz w:val="22"/>
      <w:szCs w:val="22"/>
      <w:lang w:val="fr-FR"/>
    </w:rPr>
  </w:style>
  <w:style w:type="character" w:styleId="Marquedecommentaire">
    <w:name w:val="annotation reference"/>
    <w:uiPriority w:val="99"/>
    <w:semiHidden/>
    <w:unhideWhenUsed/>
    <w:rsid w:val="000625D8"/>
    <w:rPr>
      <w:sz w:val="16"/>
      <w:szCs w:val="16"/>
    </w:rPr>
  </w:style>
  <w:style w:type="paragraph" w:styleId="Commentaire">
    <w:name w:val="annotation text"/>
    <w:basedOn w:val="Normal"/>
    <w:link w:val="CommentaireCar"/>
    <w:uiPriority w:val="99"/>
    <w:unhideWhenUsed/>
    <w:rsid w:val="000625D8"/>
    <w:rPr>
      <w:sz w:val="20"/>
      <w:szCs w:val="20"/>
    </w:rPr>
  </w:style>
  <w:style w:type="character" w:customStyle="1" w:styleId="CommentaireCar">
    <w:name w:val="Commentaire Car"/>
    <w:link w:val="Commentaire"/>
    <w:uiPriority w:val="99"/>
    <w:rsid w:val="000625D8"/>
    <w:rPr>
      <w:lang w:val="en-US"/>
    </w:rPr>
  </w:style>
  <w:style w:type="paragraph" w:styleId="Objetducommentaire">
    <w:name w:val="annotation subject"/>
    <w:basedOn w:val="Commentaire"/>
    <w:next w:val="Commentaire"/>
    <w:link w:val="ObjetducommentaireCar"/>
    <w:uiPriority w:val="99"/>
    <w:semiHidden/>
    <w:unhideWhenUsed/>
    <w:rsid w:val="000625D8"/>
    <w:rPr>
      <w:b/>
      <w:bCs/>
    </w:rPr>
  </w:style>
  <w:style w:type="character" w:customStyle="1" w:styleId="ObjetducommentaireCar">
    <w:name w:val="Objet du commentaire Car"/>
    <w:link w:val="Objetducommentaire"/>
    <w:uiPriority w:val="99"/>
    <w:semiHidden/>
    <w:rsid w:val="000625D8"/>
    <w:rPr>
      <w:b/>
      <w:bCs/>
      <w:lang w:val="en-US"/>
    </w:rPr>
  </w:style>
  <w:style w:type="paragraph" w:styleId="Notedebasdepage">
    <w:name w:val="footnote text"/>
    <w:basedOn w:val="Normal"/>
    <w:link w:val="NotedebasdepageCar"/>
    <w:unhideWhenUsed/>
    <w:rsid w:val="004D047D"/>
    <w:rPr>
      <w:sz w:val="20"/>
      <w:szCs w:val="20"/>
    </w:rPr>
  </w:style>
  <w:style w:type="character" w:customStyle="1" w:styleId="NotedebasdepageCar">
    <w:name w:val="Note de bas de page Car"/>
    <w:link w:val="Notedebasdepage"/>
    <w:rsid w:val="004D047D"/>
    <w:rPr>
      <w:lang w:val="en-US"/>
    </w:rPr>
  </w:style>
  <w:style w:type="character" w:styleId="Appelnotedebasdep">
    <w:name w:val="footnote reference"/>
    <w:unhideWhenUsed/>
    <w:rsid w:val="004D047D"/>
    <w:rPr>
      <w:vertAlign w:val="superscript"/>
    </w:rPr>
  </w:style>
  <w:style w:type="paragraph" w:customStyle="1" w:styleId="Pucesoranges">
    <w:name w:val="Puces oranges"/>
    <w:basedOn w:val="Normal"/>
    <w:rsid w:val="00FA4B49"/>
    <w:pPr>
      <w:numPr>
        <w:numId w:val="9"/>
      </w:numPr>
      <w:spacing w:before="60"/>
      <w:jc w:val="both"/>
    </w:pPr>
    <w:rPr>
      <w:rFonts w:ascii="Tahoma" w:eastAsia="Times New Roman" w:hAnsi="Tahoma" w:cs="Tahoma"/>
      <w:sz w:val="18"/>
      <w:szCs w:val="20"/>
      <w:lang w:val="fr-FR"/>
    </w:rPr>
  </w:style>
  <w:style w:type="paragraph" w:styleId="Rvision">
    <w:name w:val="Revision"/>
    <w:hidden/>
    <w:uiPriority w:val="99"/>
    <w:semiHidden/>
    <w:rsid w:val="009715D0"/>
    <w:rPr>
      <w:sz w:val="24"/>
      <w:szCs w:val="24"/>
      <w:lang w:val="en-US"/>
    </w:rPr>
  </w:style>
  <w:style w:type="character" w:styleId="Lienhypertextesuivivisit">
    <w:name w:val="FollowedHyperlink"/>
    <w:basedOn w:val="Policepardfaut"/>
    <w:uiPriority w:val="99"/>
    <w:semiHidden/>
    <w:unhideWhenUsed/>
    <w:rsid w:val="00F84E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6465">
      <w:bodyDiv w:val="1"/>
      <w:marLeft w:val="0"/>
      <w:marRight w:val="0"/>
      <w:marTop w:val="0"/>
      <w:marBottom w:val="0"/>
      <w:divBdr>
        <w:top w:val="none" w:sz="0" w:space="0" w:color="auto"/>
        <w:left w:val="none" w:sz="0" w:space="0" w:color="auto"/>
        <w:bottom w:val="none" w:sz="0" w:space="0" w:color="auto"/>
        <w:right w:val="none" w:sz="0" w:space="0" w:color="auto"/>
      </w:divBdr>
    </w:div>
    <w:div w:id="210577596">
      <w:bodyDiv w:val="1"/>
      <w:marLeft w:val="0"/>
      <w:marRight w:val="0"/>
      <w:marTop w:val="0"/>
      <w:marBottom w:val="0"/>
      <w:divBdr>
        <w:top w:val="none" w:sz="0" w:space="0" w:color="auto"/>
        <w:left w:val="none" w:sz="0" w:space="0" w:color="auto"/>
        <w:bottom w:val="none" w:sz="0" w:space="0" w:color="auto"/>
        <w:right w:val="none" w:sz="0" w:space="0" w:color="auto"/>
      </w:divBdr>
    </w:div>
    <w:div w:id="972514695">
      <w:bodyDiv w:val="1"/>
      <w:marLeft w:val="0"/>
      <w:marRight w:val="0"/>
      <w:marTop w:val="0"/>
      <w:marBottom w:val="0"/>
      <w:divBdr>
        <w:top w:val="none" w:sz="0" w:space="0" w:color="auto"/>
        <w:left w:val="none" w:sz="0" w:space="0" w:color="auto"/>
        <w:bottom w:val="none" w:sz="0" w:space="0" w:color="auto"/>
        <w:right w:val="none" w:sz="0" w:space="0" w:color="auto"/>
      </w:divBdr>
    </w:div>
    <w:div w:id="1277518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2ED0E-010B-4A39-9AFB-FA7F377A6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567</Words>
  <Characters>3121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none</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 Ver</dc:creator>
  <cp:keywords/>
  <cp:lastModifiedBy>Aurélie MONTEIL</cp:lastModifiedBy>
  <cp:revision>5</cp:revision>
  <cp:lastPrinted>2018-05-18T13:04:00Z</cp:lastPrinted>
  <dcterms:created xsi:type="dcterms:W3CDTF">2024-03-06T20:16:00Z</dcterms:created>
  <dcterms:modified xsi:type="dcterms:W3CDTF">2024-03-10T20:28:00Z</dcterms:modified>
</cp:coreProperties>
</file>